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EE823" w14:textId="77777777" w:rsidR="00C01528" w:rsidRDefault="00A00E93">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2F6C66D9" w14:textId="77777777" w:rsidR="00C01528" w:rsidRDefault="00A00E93">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6CB26E64"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1441F12F"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40CE5F7B" w14:textId="77777777" w:rsidR="00C01528" w:rsidRDefault="00A00E93">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4831CF7E" w14:textId="77777777" w:rsidR="00C01528" w:rsidRDefault="00A00E93">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39F1FE7F"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3BD334B"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5C657FF6"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3CEAF7A7" w14:textId="77777777" w:rsidR="00C01528" w:rsidRDefault="00A00E93">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1D2BA21A" w14:textId="77777777" w:rsidR="00C01528" w:rsidRDefault="00C01528">
      <w:pPr>
        <w:spacing w:line="276" w:lineRule="auto"/>
        <w:ind w:left="0" w:hanging="2"/>
        <w:rPr>
          <w:rFonts w:ascii="Calibri" w:eastAsia="Calibri" w:hAnsi="Calibri" w:cs="Calibri"/>
          <w:shd w:val="clear" w:color="auto" w:fill="FF9900"/>
        </w:rPr>
      </w:pPr>
    </w:p>
    <w:p w14:paraId="2DF69085" w14:textId="77777777" w:rsidR="00C01528" w:rsidRDefault="00A00E93">
      <w:pPr>
        <w:widowControl w:val="0"/>
        <w:spacing w:line="276" w:lineRule="auto"/>
        <w:ind w:left="0" w:hanging="2"/>
        <w:rPr>
          <w:rFonts w:ascii="Calibri" w:eastAsia="Calibri" w:hAnsi="Calibri" w:cs="Calibri"/>
          <w:b/>
        </w:rPr>
      </w:pPr>
      <w:r>
        <w:rPr>
          <w:rFonts w:ascii="Calibri" w:eastAsia="Calibri" w:hAnsi="Calibri" w:cs="Calibri"/>
          <w:b/>
        </w:rPr>
        <w:t>Przebudowa osiedlowej sieci ciepłowniczej z komory UK-11 wraz z przyłączami do budynku przy ul. Keniga 3 w Warszawie.</w:t>
      </w:r>
    </w:p>
    <w:p w14:paraId="67130652" w14:textId="77777777" w:rsidR="00C01528" w:rsidRDefault="00A00E93">
      <w:pPr>
        <w:spacing w:line="276" w:lineRule="auto"/>
        <w:ind w:left="0" w:hanging="2"/>
        <w:jc w:val="both"/>
        <w:rPr>
          <w:rFonts w:ascii="Calibri" w:eastAsia="Calibri" w:hAnsi="Calibri" w:cs="Calibri"/>
        </w:rPr>
      </w:pPr>
      <w:r>
        <w:rPr>
          <w:rFonts w:ascii="Calibri" w:eastAsia="Calibri" w:hAnsi="Calibri" w:cs="Calibri"/>
        </w:rPr>
        <w:t>polegająca na wykonaniu robót budowlanych, zgodnie z załączoną do części III SWZ dokumentacją projektową i formalnoprawną.</w:t>
      </w:r>
    </w:p>
    <w:p w14:paraId="5FE666FB" w14:textId="77777777" w:rsidR="00C01528" w:rsidRDefault="00C01528">
      <w:pPr>
        <w:spacing w:line="276" w:lineRule="auto"/>
        <w:ind w:left="0" w:hanging="2"/>
        <w:jc w:val="both"/>
        <w:rPr>
          <w:rFonts w:ascii="Calibri" w:eastAsia="Calibri" w:hAnsi="Calibri" w:cs="Calibri"/>
        </w:rPr>
      </w:pPr>
      <w:bookmarkStart w:id="0" w:name="_heading=h.9y9gll1tsf9p" w:colFirst="0" w:colLast="0"/>
      <w:bookmarkEnd w:id="0"/>
    </w:p>
    <w:p w14:paraId="25099A4E" w14:textId="77777777" w:rsidR="00C01528" w:rsidRDefault="00C01528">
      <w:pPr>
        <w:spacing w:line="276" w:lineRule="auto"/>
        <w:ind w:left="0" w:hanging="2"/>
        <w:jc w:val="center"/>
        <w:rPr>
          <w:rFonts w:ascii="Calibri" w:eastAsia="Calibri" w:hAnsi="Calibri" w:cs="Calibri"/>
        </w:rPr>
      </w:pPr>
    </w:p>
    <w:p w14:paraId="7C71641F" w14:textId="77777777" w:rsidR="00C01528" w:rsidRDefault="00A00E93">
      <w:pPr>
        <w:spacing w:line="276" w:lineRule="auto"/>
        <w:ind w:left="0" w:hanging="2"/>
        <w:jc w:val="both"/>
        <w:rPr>
          <w:rFonts w:ascii="Calibri" w:eastAsia="Calibri" w:hAnsi="Calibri" w:cs="Calibri"/>
        </w:rPr>
      </w:pPr>
      <w:r>
        <w:rPr>
          <w:rFonts w:ascii="Calibri" w:eastAsia="Calibri" w:hAnsi="Calibri" w:cs="Calibri"/>
        </w:rPr>
        <w:t>W ramach proj</w:t>
      </w:r>
      <w:r>
        <w:rPr>
          <w:rFonts w:ascii="Calibri" w:eastAsia="Calibri" w:hAnsi="Calibri" w:cs="Calibri"/>
        </w:rPr>
        <w:t xml:space="preserve">ektu: </w:t>
      </w:r>
    </w:p>
    <w:p w14:paraId="251AE589" w14:textId="77777777" w:rsidR="00C01528" w:rsidRDefault="00A00E93">
      <w:pPr>
        <w:spacing w:line="276" w:lineRule="auto"/>
        <w:ind w:left="0" w:hanging="2"/>
        <w:rPr>
          <w:rFonts w:ascii="Calibri" w:eastAsia="Calibri" w:hAnsi="Calibri" w:cs="Calibri"/>
          <w:b/>
        </w:rPr>
      </w:pPr>
      <w:r>
        <w:rPr>
          <w:rFonts w:ascii="Calibri" w:eastAsia="Calibri" w:hAnsi="Calibri" w:cs="Calibri"/>
          <w:b/>
        </w:rPr>
        <w:t xml:space="preserve">Modernizacja systemu ciepłowniczego na terenie m. st. Warszawy w celu poprawy efektywności energetycznej na lata 2025-2029 - Etap I </w:t>
      </w:r>
    </w:p>
    <w:p w14:paraId="13E47E62"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3FD11F43" w14:textId="77777777" w:rsidR="00C01528" w:rsidRDefault="00C01528">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4A926E1" w14:textId="77777777" w:rsidR="00C01528" w:rsidRDefault="00C01528">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784561E6" w14:textId="77777777" w:rsidR="00C01528" w:rsidRDefault="00C01528">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8C99E6E" w14:textId="77777777" w:rsidR="00C01528" w:rsidRDefault="00C01528">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09CFAEC4" w14:textId="77777777" w:rsidR="00C01528" w:rsidRDefault="00A00E93">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7F704FA5" w14:textId="77777777" w:rsidR="00C01528" w:rsidRDefault="00C01528">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920165005"/>
        <w:docPartObj>
          <w:docPartGallery w:val="Table of Contents"/>
          <w:docPartUnique/>
        </w:docPartObj>
      </w:sdtPr>
      <w:sdtEndPr/>
      <w:sdtContent>
        <w:p w14:paraId="12AC60DC"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HYPERLINK \l "_heading=h.gjdgxs" </w:instrText>
          </w:r>
          <w:r>
            <w:fldChar w:fldCharType="separate"/>
          </w:r>
          <w:r>
            <w:rPr>
              <w:rFonts w:ascii="Calibri" w:eastAsia="Calibri" w:hAnsi="Calibri" w:cs="Calibri"/>
              <w:color w:val="000000"/>
              <w:sz w:val="22"/>
              <w:szCs w:val="22"/>
            </w:rPr>
            <w:t>3</w:t>
          </w:r>
        </w:p>
        <w:p w14:paraId="7A0C8B65"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HYPERLINK \l "_heading=h.2s8eyo1" </w:instrText>
          </w:r>
          <w:r>
            <w:fldChar w:fldCharType="separate"/>
          </w:r>
          <w:r>
            <w:rPr>
              <w:rFonts w:ascii="Calibri" w:eastAsia="Calibri" w:hAnsi="Calibri" w:cs="Calibri"/>
              <w:color w:val="000000"/>
              <w:sz w:val="22"/>
              <w:szCs w:val="22"/>
            </w:rPr>
            <w:t>6</w:t>
          </w:r>
        </w:p>
        <w:p w14:paraId="4E4C99BA"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3.</w:t>
          </w:r>
          <w:r>
            <w:rPr>
              <w:rFonts w:ascii="Calibri" w:eastAsia="Calibri" w:hAnsi="Calibri" w:cs="Calibri"/>
              <w:color w:val="000000"/>
              <w:sz w:val="22"/>
              <w:szCs w:val="22"/>
            </w:rPr>
            <w:tab/>
            <w:t>WYMAGANIA DOTYCZĄCE SPRZĘTU I MASZYN</w:t>
          </w:r>
          <w:r>
            <w:rPr>
              <w:rFonts w:ascii="Calibri" w:eastAsia="Calibri" w:hAnsi="Calibri" w:cs="Calibri"/>
              <w:color w:val="000000"/>
              <w:sz w:val="22"/>
              <w:szCs w:val="22"/>
            </w:rPr>
            <w:tab/>
          </w:r>
          <w:r>
            <w:fldChar w:fldCharType="begin"/>
          </w:r>
          <w:r>
            <w:instrText xml:space="preserve"> HYPERLINK \l "_heading=h.z337ya" </w:instrText>
          </w:r>
          <w:r>
            <w:fldChar w:fldCharType="separate"/>
          </w:r>
          <w:r>
            <w:rPr>
              <w:rFonts w:ascii="Calibri" w:eastAsia="Calibri" w:hAnsi="Calibri" w:cs="Calibri"/>
              <w:color w:val="000000"/>
              <w:sz w:val="22"/>
              <w:szCs w:val="22"/>
            </w:rPr>
            <w:t>8</w:t>
          </w:r>
        </w:p>
        <w:p w14:paraId="6BB24E1B"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4.</w:t>
          </w:r>
          <w:r>
            <w:rPr>
              <w:rFonts w:ascii="Calibri" w:eastAsia="Calibri" w:hAnsi="Calibri" w:cs="Calibri"/>
              <w:color w:val="000000"/>
              <w:sz w:val="22"/>
              <w:szCs w:val="22"/>
            </w:rPr>
            <w:tab/>
            <w:t>WYMAGANIA DOTYCZĄC</w:t>
          </w:r>
          <w:r>
            <w:rPr>
              <w:rFonts w:ascii="Calibri" w:eastAsia="Calibri" w:hAnsi="Calibri" w:cs="Calibri"/>
              <w:color w:val="000000"/>
              <w:sz w:val="22"/>
              <w:szCs w:val="22"/>
            </w:rPr>
            <w:t>E ŚRODKÓW TRANSPORTU</w:t>
          </w:r>
          <w:r>
            <w:rPr>
              <w:rFonts w:ascii="Calibri" w:eastAsia="Calibri" w:hAnsi="Calibri" w:cs="Calibri"/>
              <w:color w:val="000000"/>
              <w:sz w:val="22"/>
              <w:szCs w:val="22"/>
            </w:rPr>
            <w:tab/>
          </w:r>
          <w:r>
            <w:fldChar w:fldCharType="begin"/>
          </w:r>
          <w:r>
            <w:instrText xml:space="preserve"> HYPERLINK \l "_heading=h.3j2qqm3" </w:instrText>
          </w:r>
          <w:r>
            <w:fldChar w:fldCharType="separate"/>
          </w:r>
          <w:r>
            <w:rPr>
              <w:rFonts w:ascii="Calibri" w:eastAsia="Calibri" w:hAnsi="Calibri" w:cs="Calibri"/>
              <w:color w:val="000000"/>
              <w:sz w:val="22"/>
              <w:szCs w:val="22"/>
            </w:rPr>
            <w:t>9</w:t>
          </w:r>
        </w:p>
        <w:p w14:paraId="326B6456"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fldChar w:fldCharType="begin"/>
          </w:r>
          <w:r>
            <w:instrText xml:space="preserve"> HYPERLINK \l "_heading=h.nmf14n" </w:instrText>
          </w:r>
          <w:r>
            <w:fldChar w:fldCharType="separate"/>
          </w:r>
          <w:r>
            <w:rPr>
              <w:rFonts w:ascii="Calibri" w:eastAsia="Calibri" w:hAnsi="Calibri" w:cs="Calibri"/>
              <w:color w:val="000000"/>
              <w:sz w:val="22"/>
              <w:szCs w:val="22"/>
            </w:rPr>
            <w:t>10</w:t>
          </w:r>
        </w:p>
        <w:p w14:paraId="5CF4FAE7"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fldChar w:fldCharType="begin"/>
          </w:r>
          <w:r>
            <w:instrText xml:space="preserve"> HYPERLINK \l "_heading=h.2p2csry" </w:instrText>
          </w:r>
          <w:r>
            <w:fldChar w:fldCharType="separate"/>
          </w:r>
          <w:r>
            <w:rPr>
              <w:rFonts w:ascii="Calibri" w:eastAsia="Calibri" w:hAnsi="Calibri" w:cs="Calibri"/>
              <w:color w:val="000000"/>
              <w:sz w:val="22"/>
              <w:szCs w:val="22"/>
            </w:rPr>
            <w:t>17</w:t>
          </w:r>
        </w:p>
        <w:p w14:paraId="3D4A4A95"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fldChar w:fldCharType="begin"/>
          </w:r>
          <w:r>
            <w:instrText xml:space="preserve"> HYPERLINK \l "_heading=h.37m2jsg" </w:instrText>
          </w:r>
          <w:r>
            <w:fldChar w:fldCharType="separate"/>
          </w:r>
          <w:r>
            <w:rPr>
              <w:rFonts w:ascii="Calibri" w:eastAsia="Calibri" w:hAnsi="Calibri" w:cs="Calibri"/>
              <w:color w:val="000000"/>
              <w:sz w:val="22"/>
              <w:szCs w:val="22"/>
            </w:rPr>
            <w:t>20</w:t>
          </w:r>
        </w:p>
        <w:p w14:paraId="661C07B9"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fldChar w:fldCharType="begin"/>
          </w:r>
          <w:r>
            <w:instrText xml:space="preserve"> HYPERLINK \l "_heading=h.2u6wntf" </w:instrText>
          </w:r>
          <w:r>
            <w:fldChar w:fldCharType="separate"/>
          </w:r>
          <w:r>
            <w:rPr>
              <w:rFonts w:ascii="Calibri" w:eastAsia="Calibri" w:hAnsi="Calibri" w:cs="Calibri"/>
              <w:color w:val="000000"/>
              <w:sz w:val="22"/>
              <w:szCs w:val="22"/>
            </w:rPr>
            <w:t>20</w:t>
          </w:r>
        </w:p>
        <w:p w14:paraId="5C613CFD" w14:textId="77777777" w:rsidR="00C01528" w:rsidRDefault="00A00E93">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end"/>
          </w: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196DAE9F" w14:textId="77777777" w:rsidR="00C01528" w:rsidRDefault="00C01528">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1FD0D524" w14:textId="77777777" w:rsidR="00C01528" w:rsidRDefault="00C01528">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298D9594"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7B01DE4"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A778679"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66EB735"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07751C7"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2C894438" w14:textId="77777777" w:rsidR="00C01528" w:rsidRDefault="00A00E93">
      <w:pPr>
        <w:keepNext/>
        <w:numPr>
          <w:ilvl w:val="0"/>
          <w:numId w:val="27"/>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290AD4D0"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F92F972" w14:textId="77777777" w:rsidR="00C01528" w:rsidRDefault="00A00E93">
      <w:pPr>
        <w:keepNext/>
        <w:numPr>
          <w:ilvl w:val="1"/>
          <w:numId w:val="3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647841A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747ADF08" w14:textId="77777777" w:rsidR="00C01528" w:rsidRDefault="00A00E93">
      <w:pPr>
        <w:widowControl w:val="0"/>
        <w:spacing w:line="276" w:lineRule="auto"/>
        <w:ind w:left="0" w:hanging="2"/>
        <w:rPr>
          <w:rFonts w:ascii="Calibri" w:eastAsia="Calibri" w:hAnsi="Calibri" w:cs="Calibri"/>
          <w:b/>
        </w:rPr>
      </w:pPr>
      <w:r>
        <w:rPr>
          <w:rFonts w:ascii="Calibri" w:eastAsia="Calibri" w:hAnsi="Calibri" w:cs="Calibri"/>
          <w:b/>
        </w:rPr>
        <w:t>Przebudowa osiedlowej sieci ciepłowniczej z komory UK-11 wraz z przyłączami do budynku przy ul. Keniga 3 w Warszawie.</w:t>
      </w:r>
    </w:p>
    <w:p w14:paraId="28CB276D" w14:textId="77777777" w:rsidR="00C01528" w:rsidRDefault="00C01528">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14B43B45" w14:textId="77777777" w:rsidR="00C01528" w:rsidRDefault="00A00E93">
      <w:pPr>
        <w:keepNext/>
        <w:numPr>
          <w:ilvl w:val="1"/>
          <w:numId w:val="3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Pr>
          <w:rFonts w:ascii="Calibri" w:eastAsia="Calibri" w:hAnsi="Calibri" w:cs="Calibri"/>
          <w:b/>
          <w:color w:val="000000"/>
          <w:sz w:val="22"/>
          <w:szCs w:val="22"/>
        </w:rPr>
        <w:t xml:space="preserve"> Przedmiot i zakres robót budowlanych.</w:t>
      </w:r>
    </w:p>
    <w:p w14:paraId="6152822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Przedmiotem niniejszej specyfikacji technicznej są wymagania dotyczące wykonania i odbioru robót </w:t>
      </w:r>
      <w:r>
        <w:rPr>
          <w:rFonts w:ascii="Calibri" w:eastAsia="Calibri" w:hAnsi="Calibri" w:cs="Calibri"/>
          <w:color w:val="000000"/>
          <w:sz w:val="22"/>
          <w:szCs w:val="22"/>
        </w:rPr>
        <w:t>budowlanych związanych z robotami rozbiórkowymi i odtworzeniowymi nawierzchni chodników i jezdni na zadaniu wymienionym w pkt.1.1.</w:t>
      </w:r>
    </w:p>
    <w:p w14:paraId="35582C4C" w14:textId="77777777" w:rsidR="00C01528" w:rsidRDefault="00A00E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12A82B71" w14:textId="77777777" w:rsidR="00C01528" w:rsidRDefault="00C01528">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58973AA2" w14:textId="77777777" w:rsidR="00C01528" w:rsidRDefault="00A00E93">
      <w:pPr>
        <w:keepNext/>
        <w:numPr>
          <w:ilvl w:val="0"/>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3CB1359D"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75629CED"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632B2895"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09C0B8F8"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4184B798"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B841039"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46F118E"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24014CEE"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60F0FFDB"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189453A5"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D59A7AD"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w:t>
      </w:r>
      <w:r>
        <w:rPr>
          <w:rFonts w:ascii="Calibri" w:eastAsia="Calibri" w:hAnsi="Calibri" w:cs="Calibri"/>
          <w:color w:val="000000"/>
          <w:sz w:val="22"/>
          <w:szCs w:val="22"/>
        </w:rPr>
        <w:t>ni chodników i jezdni,</w:t>
      </w:r>
    </w:p>
    <w:p w14:paraId="43825D4E"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7B4261C8"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3CAE3DCD"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drzew i krzewó</w:t>
      </w:r>
      <w:r>
        <w:rPr>
          <w:rFonts w:ascii="Calibri" w:eastAsia="Calibri" w:hAnsi="Calibri" w:cs="Calibri"/>
          <w:color w:val="000000"/>
          <w:sz w:val="22"/>
          <w:szCs w:val="22"/>
        </w:rPr>
        <w:t xml:space="preserve">w w pasie frontu robót, na terenie zaplecza budowy i terenach przyległych </w:t>
      </w:r>
    </w:p>
    <w:p w14:paraId="0385BCF7"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3CAEFAE4" w14:textId="77777777" w:rsidR="00C01528" w:rsidRDefault="00A00E93">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w:t>
      </w:r>
      <w:r>
        <w:rPr>
          <w:rFonts w:ascii="Calibri" w:eastAsia="Calibri" w:hAnsi="Calibri" w:cs="Calibri"/>
          <w:color w:val="000000"/>
          <w:sz w:val="22"/>
          <w:szCs w:val="22"/>
        </w:rPr>
        <w:t>y zdrowia zgodnie z Rozporządzeniem Ministra Infrastruktury z dnia 23 czerwca 2003r. Dz.U.2003 nr 120 poz.1126,</w:t>
      </w:r>
    </w:p>
    <w:p w14:paraId="1FDBC849" w14:textId="77777777" w:rsidR="00C01528" w:rsidRDefault="00C01528">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4D9F489F" w14:textId="77777777" w:rsidR="00C01528" w:rsidRDefault="00A00E93">
      <w:pPr>
        <w:keepNext/>
        <w:numPr>
          <w:ilvl w:val="0"/>
          <w:numId w:val="33"/>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72B1ED20"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2EE2DE03"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506BD675"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540F1747"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61FCD14A"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3AF5DD33"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0533B4CA"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2BAB52E5"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6697E6CB" w14:textId="77777777" w:rsidR="00C01528" w:rsidRDefault="00A00E93">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Koszty oceny stopnia zagęszczenia </w:t>
      </w:r>
      <w:r>
        <w:rPr>
          <w:rFonts w:ascii="Calibri" w:eastAsia="Calibri" w:hAnsi="Calibri" w:cs="Calibri"/>
          <w:color w:val="000000"/>
          <w:sz w:val="22"/>
          <w:szCs w:val="22"/>
        </w:rPr>
        <w:t>gruntu</w:t>
      </w:r>
    </w:p>
    <w:p w14:paraId="6C7DDE26" w14:textId="77777777" w:rsidR="00C01528" w:rsidRDefault="00C01528">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33C040EE" w14:textId="77777777" w:rsidR="00C01528" w:rsidRDefault="00A00E93">
      <w:pPr>
        <w:keepNext/>
        <w:numPr>
          <w:ilvl w:val="0"/>
          <w:numId w:val="33"/>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7187BE4E" w14:textId="77777777" w:rsidR="00C01528" w:rsidRDefault="00A00E93">
      <w:pPr>
        <w:numPr>
          <w:ilvl w:val="0"/>
          <w:numId w:val="3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7F9C99FD" w14:textId="77777777" w:rsidR="00C01528" w:rsidRDefault="00A00E93">
      <w:pPr>
        <w:numPr>
          <w:ilvl w:val="0"/>
          <w:numId w:val="3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35CC6F3B" w14:textId="77777777" w:rsidR="00C01528" w:rsidRDefault="00A00E93">
      <w:pPr>
        <w:numPr>
          <w:ilvl w:val="0"/>
          <w:numId w:val="3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7ED3E8B2" w14:textId="77777777" w:rsidR="00C01528" w:rsidRDefault="00A00E93">
      <w:pPr>
        <w:numPr>
          <w:ilvl w:val="0"/>
          <w:numId w:val="3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2292F2B2" w14:textId="77777777" w:rsidR="00C01528" w:rsidRDefault="00A00E93">
      <w:pPr>
        <w:numPr>
          <w:ilvl w:val="0"/>
          <w:numId w:val="3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7A755E38" w14:textId="77777777" w:rsidR="00C01528" w:rsidRDefault="00C01528">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03AC7618" w14:textId="77777777" w:rsidR="00C01528" w:rsidRDefault="00A00E93">
      <w:pPr>
        <w:keepNext/>
        <w:numPr>
          <w:ilvl w:val="1"/>
          <w:numId w:val="3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0A3B31FE"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1BF98463"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Zamawiający, w terminie określonym w dokumentach umowy przekaże Wykonawcy teren budowy wraz ze wszystkimi wymaganymi uzgodnieniami prawnymi i administracyjnymi oraz specyfikacją tec</w:t>
      </w:r>
      <w:r>
        <w:rPr>
          <w:rFonts w:ascii="Calibri" w:eastAsia="Calibri" w:hAnsi="Calibri" w:cs="Calibri"/>
          <w:color w:val="000000"/>
          <w:sz w:val="22"/>
          <w:szCs w:val="22"/>
        </w:rPr>
        <w:t xml:space="preserve">hniczną wykonania i odbioru robót. Specyfikacja techniczna wykonania i odbioru robót oraz dodatkowe dokumenty przekazane Wykonawcy przez inspektora nadzoru stanowią załącznik do umowy, a wymagania wyszczególnione w choćby jednym z nich są obowiązujące dla </w:t>
      </w:r>
      <w:r>
        <w:rPr>
          <w:rFonts w:ascii="Calibri" w:eastAsia="Calibri" w:hAnsi="Calibri" w:cs="Calibri"/>
          <w:color w:val="000000"/>
          <w:sz w:val="22"/>
          <w:szCs w:val="22"/>
        </w:rPr>
        <w:t xml:space="preserve">Wykonawcy tak, jakby zawarte były w całej dokumentacji. </w:t>
      </w:r>
    </w:p>
    <w:p w14:paraId="4E589CC3"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3882B3AA"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w:t>
      </w:r>
      <w:r>
        <w:rPr>
          <w:rFonts w:ascii="Calibri" w:eastAsia="Calibri" w:hAnsi="Calibri" w:cs="Calibri"/>
          <w:color w:val="000000"/>
          <w:sz w:val="22"/>
          <w:szCs w:val="22"/>
        </w:rPr>
        <w:t>ty i dostarczone materiały mają być zgodne ze specyfikacją techniczną wykonania i odbioru robót budowlanych. Parametry określone w specyfikacji technicznej wykonania i odbioru robót będą uważane za docelowe, od których dopuszczalne są odchylenia w ramach o</w:t>
      </w:r>
      <w:r>
        <w:rPr>
          <w:rFonts w:ascii="Calibri" w:eastAsia="Calibri" w:hAnsi="Calibri" w:cs="Calibri"/>
          <w:color w:val="000000"/>
          <w:sz w:val="22"/>
          <w:szCs w:val="22"/>
        </w:rPr>
        <w:t xml:space="preserve">kreślonego przedziału tolerancji. </w:t>
      </w:r>
    </w:p>
    <w:p w14:paraId="09335DE6"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12A5EB91"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dostarczone mater</w:t>
      </w:r>
      <w:r>
        <w:rPr>
          <w:rFonts w:ascii="Calibri" w:eastAsia="Calibri" w:hAnsi="Calibri" w:cs="Calibri"/>
          <w:color w:val="000000"/>
          <w:sz w:val="22"/>
          <w:szCs w:val="22"/>
        </w:rPr>
        <w:t>iały lub wykonane roboty nie będą zgodne z dokumentacją ze specyfikacją techniczną wykonania i odbioru robót i mają wpływ na niezadowalającą jakość elementu budowli, to takie materiały zostaną zastąpione innymi, a elementy budowli rozebrane i wykonane pono</w:t>
      </w:r>
      <w:r>
        <w:rPr>
          <w:rFonts w:ascii="Calibri" w:eastAsia="Calibri" w:hAnsi="Calibri" w:cs="Calibri"/>
          <w:color w:val="000000"/>
          <w:sz w:val="22"/>
          <w:szCs w:val="22"/>
        </w:rPr>
        <w:t xml:space="preserve">wnie na koszt wykonawcy. </w:t>
      </w:r>
    </w:p>
    <w:p w14:paraId="024AD732"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0C2E5183"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zainstaluje i będzie utrzymywał tymczasowe urządzenia zabezpieczające, w ty</w:t>
      </w:r>
      <w:r>
        <w:rPr>
          <w:rFonts w:ascii="Calibri" w:eastAsia="Calibri" w:hAnsi="Calibri" w:cs="Calibri"/>
          <w:color w:val="000000"/>
          <w:sz w:val="22"/>
          <w:szCs w:val="22"/>
        </w:rPr>
        <w:t xml:space="preserve">m: ogrodzenia, poręcze, sygnały i znaki ostrzegawcze i wszelkie środki niezbędne do ochrony robót, wygody społeczności i innych. </w:t>
      </w:r>
    </w:p>
    <w:p w14:paraId="67F9D8D8"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w:t>
      </w:r>
      <w:r>
        <w:rPr>
          <w:rFonts w:ascii="Calibri" w:eastAsia="Calibri" w:hAnsi="Calibri" w:cs="Calibri"/>
          <w:color w:val="000000"/>
          <w:sz w:val="22"/>
          <w:szCs w:val="22"/>
        </w:rPr>
        <w:t>aturalnego.</w:t>
      </w:r>
    </w:p>
    <w:p w14:paraId="7700C786" w14:textId="77777777" w:rsidR="00C01528" w:rsidRDefault="00A00E93">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t>
      </w:r>
      <w:r>
        <w:rPr>
          <w:rFonts w:ascii="Calibri" w:eastAsia="Calibri" w:hAnsi="Calibri" w:cs="Calibri"/>
          <w:color w:val="000000"/>
          <w:sz w:val="22"/>
          <w:szCs w:val="22"/>
        </w:rPr>
        <w:t>wości dla osób lub własności społecznej, a wynikających ze skażenia, hałasu lub innych przyczyn powstałych w następstwie jego sposobu działania.</w:t>
      </w:r>
    </w:p>
    <w:p w14:paraId="73F35444" w14:textId="77777777" w:rsidR="00C01528" w:rsidRDefault="00C01528">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58F4A6D1" w14:textId="77777777" w:rsidR="00C01528" w:rsidRDefault="00A00E93">
      <w:pPr>
        <w:keepNext/>
        <w:numPr>
          <w:ilvl w:val="1"/>
          <w:numId w:val="3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t xml:space="preserve">  Obowiązujące przepisy przy realizacji zamówienia</w:t>
      </w:r>
    </w:p>
    <w:p w14:paraId="3CB09258" w14:textId="77777777" w:rsidR="00C01528" w:rsidRDefault="00C01528">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5CEAFB74" w14:textId="77777777" w:rsidR="00C01528" w:rsidRDefault="00A00E93">
      <w:pPr>
        <w:numPr>
          <w:ilvl w:val="0"/>
          <w:numId w:val="31"/>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3DBD87E7" w14:textId="77777777" w:rsidR="00C01528" w:rsidRDefault="00A00E93">
      <w:pPr>
        <w:numPr>
          <w:ilvl w:val="0"/>
          <w:numId w:val="9"/>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B137EF0"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w:t>
      </w:r>
      <w:r>
        <w:rPr>
          <w:rFonts w:ascii="Calibri" w:eastAsia="Calibri" w:hAnsi="Calibri" w:cs="Calibri"/>
          <w:color w:val="000000"/>
          <w:sz w:val="22"/>
          <w:szCs w:val="22"/>
        </w:rPr>
        <w:t>ie Ministra Gospodarki, Pracy i Polityki Społecznej z dnia 28 sierpnia 2003 r. w sprawie ogłoszenia jednolitego tekstu rozporządzenia Ministra Pracy i Polityki Socjalnej w sprawie ogólnych przepisów bezpieczeństwa i higieny pracy (Dz. U. 2003 nr 169 poz. 1</w:t>
      </w:r>
      <w:r>
        <w:rPr>
          <w:rFonts w:ascii="Calibri" w:eastAsia="Calibri" w:hAnsi="Calibri" w:cs="Calibri"/>
          <w:color w:val="000000"/>
          <w:sz w:val="22"/>
          <w:szCs w:val="22"/>
        </w:rPr>
        <w:t xml:space="preserve">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5F984BF"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706658C5"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w:t>
      </w:r>
      <w:r>
        <w:rPr>
          <w:rFonts w:ascii="Calibri" w:eastAsia="Calibri" w:hAnsi="Calibri" w:cs="Calibri"/>
          <w:color w:val="000000"/>
          <w:sz w:val="22"/>
          <w:szCs w:val="22"/>
        </w:rPr>
        <w:t xml:space="preserve">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21685F0D"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w:t>
      </w:r>
      <w:r>
        <w:rPr>
          <w:rFonts w:ascii="Calibri" w:eastAsia="Calibri" w:hAnsi="Calibri" w:cs="Calibri"/>
          <w:color w:val="000000"/>
          <w:sz w:val="22"/>
          <w:szCs w:val="22"/>
        </w:rPr>
        <w:t xml:space="preserve">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C133556"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w:t>
      </w:r>
      <w:r>
        <w:rPr>
          <w:rFonts w:ascii="Calibri" w:eastAsia="Calibri" w:hAnsi="Calibri" w:cs="Calibri"/>
          <w:color w:val="000000"/>
          <w:sz w:val="22"/>
          <w:szCs w:val="22"/>
        </w:rPr>
        <w:t xml:space="preserve"> 2003 nr 47 poz. 401).</w:t>
      </w:r>
    </w:p>
    <w:p w14:paraId="47F20640"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AE68F35"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t>
      </w:r>
      <w:r>
        <w:rPr>
          <w:rFonts w:ascii="Calibri" w:eastAsia="Calibri" w:hAnsi="Calibri" w:cs="Calibri"/>
          <w:color w:val="000000"/>
          <w:sz w:val="22"/>
          <w:szCs w:val="22"/>
        </w:rPr>
        <w:t xml:space="preserve">wieszczenie Ministra Rodziny, Pracy i Polityki Socjalnej z dnia 11 maja 2018 w sprawie ogłoszenia jednolitego tekstu Rozporządzenia Ministra Pracy i Polityki Społecznej z dnia 14 marca 2000 r. w sprawie bezpieczeństwa i higieny pracy przy ręcznych pracach </w:t>
      </w:r>
      <w:r>
        <w:rPr>
          <w:rFonts w:ascii="Calibri" w:eastAsia="Calibri" w:hAnsi="Calibri" w:cs="Calibri"/>
          <w:color w:val="000000"/>
          <w:sz w:val="22"/>
          <w:szCs w:val="22"/>
        </w:rPr>
        <w:t xml:space="preserve">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6A10A271"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w:t>
      </w:r>
      <w:r>
        <w:rPr>
          <w:rFonts w:ascii="Calibri" w:eastAsia="Calibri" w:hAnsi="Calibri" w:cs="Calibri"/>
          <w:color w:val="000000"/>
          <w:sz w:val="22"/>
          <w:szCs w:val="22"/>
        </w:rPr>
        <w:t>acy przy urządzeniach energetycznych (Dz. U. 2021 poz. 1210).</w:t>
      </w:r>
    </w:p>
    <w:p w14:paraId="1B34C01D" w14:textId="77777777" w:rsidR="00C01528" w:rsidRDefault="00A00E93">
      <w:pPr>
        <w:numPr>
          <w:ilvl w:val="0"/>
          <w:numId w:val="9"/>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w:t>
      </w:r>
      <w:r>
        <w:rPr>
          <w:rFonts w:ascii="Calibri" w:eastAsia="Calibri" w:hAnsi="Calibri" w:cs="Calibri"/>
          <w:color w:val="000000"/>
          <w:sz w:val="22"/>
          <w:szCs w:val="22"/>
        </w:rPr>
        <w:t xml:space="preserve">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51BAE410" w14:textId="77777777" w:rsidR="00C01528" w:rsidRDefault="00A00E93">
      <w:pPr>
        <w:numPr>
          <w:ilvl w:val="0"/>
          <w:numId w:val="31"/>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szczególności Wykonawca ma obowiązek zadbać, aby personel nie wykonywał pracy w warunkach niebezpiecznych, szkodliwych dla zdrowia oraz niespełniających wymagań sanitarnych Wszystkim pracownikom należy wydać odzież i obuwie robocze, a także środki ochron</w:t>
      </w:r>
      <w:r>
        <w:rPr>
          <w:rFonts w:ascii="Calibri" w:eastAsia="Calibri" w:hAnsi="Calibri" w:cs="Calibri"/>
          <w:color w:val="000000"/>
          <w:sz w:val="22"/>
          <w:szCs w:val="22"/>
        </w:rPr>
        <w:t xml:space="preserve">y, stosownie  do rodzaju wykonywanej pracy. Pracownicy powinni być poinstruowani o obowiązku stosowania w czasie pracy przydzielonych środków ochrony osobistej. Środki ochrony osobistej powinny mieć wymagany certyfikat na znak bezpieczeństwa i powinny być </w:t>
      </w:r>
      <w:r>
        <w:rPr>
          <w:rFonts w:ascii="Calibri" w:eastAsia="Calibri" w:hAnsi="Calibri" w:cs="Calibri"/>
          <w:color w:val="000000"/>
          <w:sz w:val="22"/>
          <w:szCs w:val="22"/>
        </w:rPr>
        <w:t xml:space="preserve">oznaczone tym znakiem. Do środków ochrony osobistej należą: odzież ochronna, kaski ochronne, rękawice ochronne, a w przypadkach koniecznych także okulary ochronne. </w:t>
      </w:r>
    </w:p>
    <w:p w14:paraId="09CC1740" w14:textId="77777777" w:rsidR="00C01528" w:rsidRDefault="00A00E93">
      <w:pPr>
        <w:numPr>
          <w:ilvl w:val="0"/>
          <w:numId w:val="31"/>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Wykonawca zapewni i będzie utrzymywał wszelkie urządzenia zabezpieczające, socjalne oraz sp</w:t>
      </w:r>
      <w:r>
        <w:rPr>
          <w:rFonts w:ascii="Calibri" w:eastAsia="Calibri" w:hAnsi="Calibri" w:cs="Calibri"/>
          <w:color w:val="000000"/>
          <w:sz w:val="22"/>
          <w:szCs w:val="22"/>
        </w:rPr>
        <w:t xml:space="preserve">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75A4B921" w14:textId="77777777" w:rsidR="00C01528" w:rsidRDefault="00A00E93">
      <w:pPr>
        <w:numPr>
          <w:ilvl w:val="0"/>
          <w:numId w:val="31"/>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w:t>
      </w:r>
      <w:r>
        <w:rPr>
          <w:rFonts w:ascii="Calibri" w:eastAsia="Calibri" w:hAnsi="Calibri" w:cs="Calibri"/>
          <w:color w:val="000000"/>
          <w:sz w:val="22"/>
          <w:szCs w:val="22"/>
        </w:rPr>
        <w:t>konawca będzie odpowiedzialny za ochronę robót i za wszelkie materiały i urządzenia używane do robót od daty rozpoczęcia do daty odbioru końcowego. Wykonawca zobowiązany jest znać wszelkie przepisy wydane przez organy administracji państwowej i samorządowe</w:t>
      </w:r>
      <w:r>
        <w:rPr>
          <w:rFonts w:ascii="Calibri" w:eastAsia="Calibri" w:hAnsi="Calibri" w:cs="Calibri"/>
          <w:color w:val="000000"/>
          <w:sz w:val="22"/>
          <w:szCs w:val="22"/>
        </w:rPr>
        <w:t xml:space="preserve">j, które są w jakikolwiek sposób związane z robotami i będzie w pełni odpowiedzialny za przestrzeganie tych praw, przepisów i wytycznych podczas prowadzenia robót. </w:t>
      </w:r>
    </w:p>
    <w:p w14:paraId="4B5F20BF" w14:textId="77777777" w:rsidR="00C01528" w:rsidRDefault="00C01528">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1B781FAC" w14:textId="77777777" w:rsidR="00C01528" w:rsidRDefault="00A00E93">
      <w:pPr>
        <w:keepNext/>
        <w:numPr>
          <w:ilvl w:val="1"/>
          <w:numId w:val="3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t xml:space="preserve">  Klasyfikacja robót</w:t>
      </w:r>
    </w:p>
    <w:p w14:paraId="6A63CC9E"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11ADC003"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51ABFB2C" w14:textId="77777777" w:rsidR="00C01528" w:rsidRDefault="00A00E93">
      <w:pPr>
        <w:keepNext/>
        <w:numPr>
          <w:ilvl w:val="0"/>
          <w:numId w:val="27"/>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4DCF96C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2FD861A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1B272C32"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48D73C8D"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43AC485"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roboty i dostarczone materiały mają być zgodne ze specyfikacją techniczną wykonania i odbioru robót budowlanych. Parametry określone w specyfikacji technicznej wykonania i odbioru robót będą uważane za docelowe, od których dopuszczalne s</w:t>
      </w:r>
      <w:r>
        <w:rPr>
          <w:rFonts w:ascii="Calibri" w:eastAsia="Calibri" w:hAnsi="Calibri" w:cs="Calibri"/>
          <w:color w:val="000000"/>
          <w:sz w:val="22"/>
          <w:szCs w:val="22"/>
        </w:rPr>
        <w:t xml:space="preserve">ą odchylenia w ramach określonego przedziału tolerancji. Cechy materiałów i elementów budowli muszą być jednorodne i wykazywać zgodność z określonymi wymaganiami, a rozrzuty tych cech nie mogą przekraczać dopuszczalnego przedziału tolerancji. </w:t>
      </w:r>
    </w:p>
    <w:p w14:paraId="5D91C6E1"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w:t>
      </w:r>
      <w:r>
        <w:rPr>
          <w:rFonts w:ascii="Calibri" w:eastAsia="Calibri" w:hAnsi="Calibri" w:cs="Calibri"/>
          <w:color w:val="000000"/>
          <w:sz w:val="22"/>
          <w:szCs w:val="22"/>
        </w:rPr>
        <w:t xml:space="preserve"> gdy dostarczone materiały lub wykonane roboty nie będą zgodne z dokumentacją ze specyfikacją techniczną wykonania i odbioru robót i mają wpływ na niezadowalającą jakość elementu budowli, to takie materiały zostaną zastąpione innymi, a elementy budowli roz</w:t>
      </w:r>
      <w:r>
        <w:rPr>
          <w:rFonts w:ascii="Calibri" w:eastAsia="Calibri" w:hAnsi="Calibri" w:cs="Calibri"/>
          <w:color w:val="000000"/>
          <w:sz w:val="22"/>
          <w:szCs w:val="22"/>
        </w:rPr>
        <w:t>ebrane i wykonane ponownie na koszt wykonawcy.</w:t>
      </w:r>
    </w:p>
    <w:p w14:paraId="3C879828"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w:t>
      </w:r>
      <w:r>
        <w:rPr>
          <w:rFonts w:ascii="Calibri" w:eastAsia="Calibri" w:hAnsi="Calibri" w:cs="Calibri"/>
          <w:color w:val="000000"/>
          <w:sz w:val="22"/>
          <w:szCs w:val="22"/>
        </w:rPr>
        <w:t>klaracje zgodności wymagane lub dobrowolnie stosowane przez producentów.</w:t>
      </w:r>
    </w:p>
    <w:p w14:paraId="38E4F805"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430BA837"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w:t>
      </w:r>
      <w:r>
        <w:rPr>
          <w:rFonts w:ascii="Calibri" w:eastAsia="Calibri" w:hAnsi="Calibri" w:cs="Calibri"/>
          <w:color w:val="000000"/>
          <w:sz w:val="22"/>
          <w:szCs w:val="22"/>
        </w:rPr>
        <w:t>cą:</w:t>
      </w:r>
    </w:p>
    <w:p w14:paraId="31411C00"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29DBF38F"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761B7A54"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w:t>
      </w:r>
      <w:r>
        <w:rPr>
          <w:rFonts w:ascii="Calibri" w:eastAsia="Calibri" w:hAnsi="Calibri" w:cs="Calibri"/>
          <w:color w:val="000000"/>
          <w:sz w:val="22"/>
          <w:szCs w:val="22"/>
        </w:rPr>
        <w:t>yrobu budowlanego;</w:t>
      </w:r>
    </w:p>
    <w:p w14:paraId="1730F05D"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4B81DF66"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50642E0F" w14:textId="77777777" w:rsidR="00C01528" w:rsidRDefault="00A00E93" w:rsidP="00D7489F">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w:t>
      </w:r>
      <w:r>
        <w:rPr>
          <w:rFonts w:ascii="Calibri" w:eastAsia="Calibri" w:hAnsi="Calibri" w:cs="Calibri"/>
          <w:color w:val="000000"/>
          <w:sz w:val="22"/>
          <w:szCs w:val="22"/>
        </w:rPr>
        <w:t>ści wyrobu budowlanego.</w:t>
      </w:r>
    </w:p>
    <w:p w14:paraId="2E47E5C5"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174674C2" w14:textId="77777777" w:rsidR="00C01528" w:rsidRDefault="00A00E93">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t>
      </w:r>
      <w:r>
        <w:rPr>
          <w:rFonts w:ascii="Calibri" w:eastAsia="Calibri" w:hAnsi="Calibri" w:cs="Calibri"/>
          <w:color w:val="000000"/>
          <w:sz w:val="22"/>
          <w:szCs w:val="22"/>
        </w:rPr>
        <w:t>wierzchni z odzysku nie podlegają w/w warunkom ale muszą być dopuszczone do wbudowania przez inspektora nadzoru.</w:t>
      </w:r>
    </w:p>
    <w:p w14:paraId="04FA072E" w14:textId="77777777" w:rsidR="00C01528" w:rsidRDefault="00C01528" w:rsidP="00D7489F">
      <w:pPr>
        <w:pBdr>
          <w:top w:val="nil"/>
          <w:left w:val="nil"/>
          <w:bottom w:val="nil"/>
          <w:right w:val="nil"/>
          <w:between w:val="nil"/>
        </w:pBdr>
        <w:tabs>
          <w:tab w:val="left" w:pos="6946"/>
        </w:tabs>
        <w:spacing w:line="240" w:lineRule="auto"/>
        <w:ind w:leftChars="0" w:left="0" w:firstLineChars="0" w:firstLine="0"/>
        <w:jc w:val="both"/>
        <w:rPr>
          <w:rFonts w:ascii="Calibri" w:eastAsia="Calibri" w:hAnsi="Calibri" w:cs="Calibri"/>
          <w:color w:val="000000"/>
          <w:sz w:val="22"/>
          <w:szCs w:val="22"/>
        </w:rPr>
      </w:pPr>
      <w:bookmarkStart w:id="9" w:name="_heading=h.3rdcrjn" w:colFirst="0" w:colLast="0"/>
      <w:bookmarkEnd w:id="9"/>
    </w:p>
    <w:p w14:paraId="06F214E1"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1017B2D0"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78339C71" w14:textId="77777777" w:rsidR="00C01528" w:rsidRDefault="00C0152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6F0594CF"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Krawężniki i obrzeża</w:t>
      </w:r>
    </w:p>
    <w:p w14:paraId="442AA97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w:t>
      </w:r>
      <w:r>
        <w:rPr>
          <w:rFonts w:ascii="Calibri" w:eastAsia="Calibri" w:hAnsi="Calibri" w:cs="Calibri"/>
          <w:color w:val="000000"/>
          <w:sz w:val="22"/>
          <w:szCs w:val="22"/>
        </w:rPr>
        <w:t>ównoważnej a parametry techniczne krawężników określa norma PN-EN 1340 lub równoważna</w:t>
      </w:r>
    </w:p>
    <w:p w14:paraId="33B4BD42"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37CD6432"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Betonowa kostka brukowa </w:t>
      </w:r>
    </w:p>
    <w:p w14:paraId="5D89961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barwa: czerwona (chodniki), grafitowa (zjazdy), szara (jezdnia)</w:t>
      </w:r>
      <w:r>
        <w:rPr>
          <w:rFonts w:ascii="Calibri" w:eastAsia="Calibri" w:hAnsi="Calibri" w:cs="Calibri"/>
          <w:color w:val="000000"/>
          <w:sz w:val="22"/>
          <w:szCs w:val="22"/>
        </w:rPr>
        <w:t xml:space="preserve">. </w:t>
      </w:r>
    </w:p>
    <w:p w14:paraId="025119CD" w14:textId="77777777" w:rsidR="00C01528" w:rsidRDefault="00C01528">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7C578E95" w14:textId="77777777" w:rsidR="00C01528" w:rsidRDefault="00A00E93">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4605E46A" w14:textId="77777777" w:rsidR="00C01528" w:rsidRDefault="00A00E93">
      <w:pPr>
        <w:numPr>
          <w:ilvl w:val="0"/>
          <w:numId w:val="2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6B1891D8" w14:textId="77777777" w:rsidR="00C01528" w:rsidRDefault="00A00E93">
      <w:pPr>
        <w:numPr>
          <w:ilvl w:val="0"/>
          <w:numId w:val="2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289FF56B" w14:textId="77777777" w:rsidR="00C01528" w:rsidRDefault="00A00E93">
      <w:pPr>
        <w:numPr>
          <w:ilvl w:val="0"/>
          <w:numId w:val="2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w:t>
      </w:r>
      <w:r>
        <w:rPr>
          <w:rFonts w:ascii="Calibri" w:eastAsia="Calibri" w:hAnsi="Calibri" w:cs="Calibri"/>
          <w:color w:val="000000"/>
          <w:sz w:val="22"/>
          <w:szCs w:val="22"/>
        </w:rPr>
        <w:t>ępujące warunki:</w:t>
      </w:r>
    </w:p>
    <w:p w14:paraId="1B96DDB8" w14:textId="77777777" w:rsidR="00C01528" w:rsidRDefault="00A00E93">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05C49924" w14:textId="77777777" w:rsidR="00C01528" w:rsidRDefault="00A00E93">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62339D84" w14:textId="77777777" w:rsidR="00C01528" w:rsidRDefault="00A00E93">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w:t>
      </w:r>
      <w:r>
        <w:rPr>
          <w:rFonts w:ascii="Calibri" w:eastAsia="Calibri" w:hAnsi="Calibri" w:cs="Calibri"/>
          <w:color w:val="000000"/>
          <w:sz w:val="22"/>
          <w:szCs w:val="22"/>
        </w:rPr>
        <w:t>ymałości na ściskanie w stosunku do próbek nie zamrażanych nie powinno być większe niż 20%,</w:t>
      </w:r>
    </w:p>
    <w:p w14:paraId="712ECDEE" w14:textId="77777777" w:rsidR="00C01528" w:rsidRDefault="00A00E93">
      <w:pPr>
        <w:numPr>
          <w:ilvl w:val="0"/>
          <w:numId w:val="2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2B9F22C4" w14:textId="77777777" w:rsidR="00C01528" w:rsidRDefault="00A00E93">
      <w:pPr>
        <w:numPr>
          <w:ilvl w:val="0"/>
          <w:numId w:val="2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 xml:space="preserve">wygląd zewnętrzny: powierzchnie elementów nie powinny mieć rys, pęknięć i ubytków betonu, krawędzie elementów powinny być </w:t>
      </w:r>
      <w:r>
        <w:rPr>
          <w:rFonts w:ascii="Calibri" w:eastAsia="Calibri" w:hAnsi="Calibri" w:cs="Calibri"/>
          <w:color w:val="000000"/>
          <w:sz w:val="22"/>
          <w:szCs w:val="22"/>
        </w:rPr>
        <w:t>równe, a tekstura i kolor powierzchni licowej powinny być jednorodne</w:t>
      </w:r>
    </w:p>
    <w:p w14:paraId="1305840F"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55A7F888" w14:textId="77777777" w:rsidR="00C01528" w:rsidRDefault="00A00E93">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27F66561" w14:textId="77777777" w:rsidR="00C01528" w:rsidRDefault="00A00E93">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329C0A43" w14:textId="77777777" w:rsidR="00C01528" w:rsidRDefault="00C01528">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274285E2" w14:textId="77777777" w:rsidR="00C01528" w:rsidRDefault="00A00E93">
      <w:pPr>
        <w:keepNext/>
        <w:numPr>
          <w:ilvl w:val="2"/>
          <w:numId w:val="27"/>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3E16E4E7" w14:textId="77777777" w:rsidR="00C01528" w:rsidRDefault="00A00E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0F58356F" w14:textId="77777777" w:rsidR="00C01528" w:rsidRDefault="00A00E93">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w:t>
      </w:r>
      <w:r>
        <w:rPr>
          <w:rFonts w:ascii="Calibri" w:eastAsia="Calibri" w:hAnsi="Calibri" w:cs="Calibri"/>
          <w:color w:val="000000"/>
          <w:sz w:val="22"/>
          <w:szCs w:val="22"/>
        </w:rPr>
        <w:t>ia, np. pyłu z odpylania, popiołu lotnego z węgla kamiennego, na podstawie orzeczenia laboratoryjnego i za zgodą Inżyniera.</w:t>
      </w:r>
    </w:p>
    <w:p w14:paraId="460689B0" w14:textId="77777777" w:rsidR="00C01528" w:rsidRDefault="00A00E93">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03DCFEC8" w14:textId="77777777" w:rsidR="00C01528" w:rsidRDefault="00C01528">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5026E9F7" w14:textId="77777777" w:rsidR="00C01528" w:rsidRDefault="00A00E93">
      <w:pPr>
        <w:keepNext/>
        <w:numPr>
          <w:ilvl w:val="2"/>
          <w:numId w:val="27"/>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7FEA821E" w14:textId="77777777" w:rsidR="00C01528" w:rsidRDefault="00A00E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628EAD7C" w14:textId="77777777" w:rsidR="00C01528" w:rsidRDefault="00A00E93">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 frakcje d</w:t>
      </w:r>
      <w:r>
        <w:rPr>
          <w:rFonts w:ascii="Calibri" w:eastAsia="Calibri" w:hAnsi="Calibri" w:cs="Calibri"/>
          <w:color w:val="000000"/>
          <w:sz w:val="22"/>
          <w:szCs w:val="22"/>
        </w:rPr>
        <w:t xml:space="preserve">robne kruszywa (poniżej 4 mm) byty przechowywane pod zadaszeniem (wiatami). Warunki składowania oraz lokalizacja składowiska powinny być wcześniej uzgodnione z Inspektorem nadzoru. </w:t>
      </w:r>
    </w:p>
    <w:p w14:paraId="16A2602A" w14:textId="77777777" w:rsidR="00C01528" w:rsidRDefault="00C0152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6E4FF73C" w14:textId="77777777" w:rsidR="00C01528" w:rsidRDefault="00C0152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CCC99AF" w14:textId="77777777" w:rsidR="00C01528" w:rsidRDefault="00A00E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20307CCF" w14:textId="77777777" w:rsidR="00C01528" w:rsidRDefault="00C0152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1"/>
        <w:tblW w:w="8693" w:type="dxa"/>
        <w:tblInd w:w="0" w:type="dxa"/>
        <w:tblLayout w:type="fixed"/>
        <w:tblLook w:val="0000" w:firstRow="0" w:lastRow="0" w:firstColumn="0" w:lastColumn="0" w:noHBand="0" w:noVBand="0"/>
      </w:tblPr>
      <w:tblGrid>
        <w:gridCol w:w="642"/>
        <w:gridCol w:w="5500"/>
        <w:gridCol w:w="2551"/>
      </w:tblGrid>
      <w:tr w:rsidR="00C01528" w14:paraId="1DEC057B" w14:textId="77777777">
        <w:trPr>
          <w:cantSplit/>
          <w:trHeight w:val="758"/>
        </w:trPr>
        <w:tc>
          <w:tcPr>
            <w:tcW w:w="642" w:type="dxa"/>
            <w:vMerge w:val="restart"/>
            <w:tcBorders>
              <w:top w:val="single" w:sz="4" w:space="0" w:color="000000"/>
              <w:left w:val="single" w:sz="4" w:space="0" w:color="000000"/>
            </w:tcBorders>
            <w:shd w:val="clear" w:color="auto" w:fill="FFFFFF"/>
          </w:tcPr>
          <w:p w14:paraId="7F30C772"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0D604DBD" w14:textId="77777777" w:rsidR="00C01528" w:rsidRDefault="00A00E93">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4292FFBC" w14:textId="77777777" w:rsidR="00C01528" w:rsidRDefault="00A00E93">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C69B25B"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C01528" w14:paraId="654F7AE6" w14:textId="77777777">
        <w:trPr>
          <w:cantSplit/>
          <w:trHeight w:val="363"/>
        </w:trPr>
        <w:tc>
          <w:tcPr>
            <w:tcW w:w="642" w:type="dxa"/>
            <w:vMerge/>
            <w:tcBorders>
              <w:top w:val="single" w:sz="4" w:space="0" w:color="000000"/>
              <w:left w:val="single" w:sz="4" w:space="0" w:color="000000"/>
            </w:tcBorders>
            <w:shd w:val="clear" w:color="auto" w:fill="FFFFFF"/>
          </w:tcPr>
          <w:p w14:paraId="029B10E9" w14:textId="77777777" w:rsidR="00C01528" w:rsidRDefault="00C01528">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11E46A3A" w14:textId="77777777" w:rsidR="00C01528" w:rsidRDefault="00C01528">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2CBF3AA"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C01528" w14:paraId="0F4B3623"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352AC7F6"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1</w:t>
            </w:r>
          </w:p>
        </w:tc>
        <w:tc>
          <w:tcPr>
            <w:tcW w:w="5500" w:type="dxa"/>
            <w:tcBorders>
              <w:top w:val="single" w:sz="4" w:space="0" w:color="000000"/>
              <w:left w:val="single" w:sz="4" w:space="0" w:color="000000"/>
              <w:bottom w:val="single" w:sz="4" w:space="0" w:color="000000"/>
            </w:tcBorders>
            <w:shd w:val="clear" w:color="auto" w:fill="FFFFFF"/>
          </w:tcPr>
          <w:p w14:paraId="45460341"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29F7BB1E"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FD233F5" w14:textId="77777777" w:rsidR="00C01528" w:rsidRDefault="00A00E93">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5E201179"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C01528" w14:paraId="15707114"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536894C3"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6E1FD195" w14:textId="77777777" w:rsidR="00C01528" w:rsidRDefault="00A00E93">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5B82BAD"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C01528" w14:paraId="57810379"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15AECEF4"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6E463371" w14:textId="77777777" w:rsidR="00C01528" w:rsidRDefault="00A00E93">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63056DC"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C01528" w14:paraId="60DFA961"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0B6F12BA"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3F2E0DE9"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4D88127"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C01528" w14:paraId="57CCDF16"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7F71E3DF"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4F3FE8F5"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1D8DE16"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C01528" w14:paraId="3921A06D"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69973AD0"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69B82603"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89722DF" w14:textId="77777777" w:rsidR="00C01528" w:rsidRDefault="00A00E93">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C01528" w14:paraId="0F225F6D"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5A144026"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55EDE7BE"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2E03A1E"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C01528" w14:paraId="59A07547"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34B399DC"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69226EC7" w14:textId="77777777" w:rsidR="00C01528" w:rsidRDefault="00A00E93">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900AAAC" w14:textId="77777777" w:rsidR="00C01528" w:rsidRDefault="00A00E93">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7BC01B1A"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13DCAD6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13F442AD" w14:textId="77777777" w:rsidR="00C01528" w:rsidRDefault="00A00E93">
      <w:pPr>
        <w:numPr>
          <w:ilvl w:val="0"/>
          <w:numId w:val="2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w:t>
      </w:r>
      <w:r>
        <w:rPr>
          <w:rFonts w:ascii="Calibri" w:eastAsia="Calibri" w:hAnsi="Calibri" w:cs="Calibri"/>
          <w:color w:val="000000"/>
          <w:sz w:val="22"/>
          <w:szCs w:val="22"/>
        </w:rPr>
        <w:t>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1CAE918F" w14:textId="77777777" w:rsidR="00C01528" w:rsidRDefault="00A00E93">
      <w:pPr>
        <w:numPr>
          <w:ilvl w:val="0"/>
          <w:numId w:val="2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7012E2F4"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F9999D6"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62AF6F7F"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7F554349"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0333CB"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66E6B85A"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C3B4B15"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49BC3E2B"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robót powinien być zgodny z ofertą Wykonawcy i powinien odpowiadać pod względem typów wskazaniom zawa</w:t>
      </w:r>
      <w:r>
        <w:rPr>
          <w:rFonts w:ascii="Calibri" w:eastAsia="Calibri" w:hAnsi="Calibri" w:cs="Calibri"/>
          <w:color w:val="000000"/>
          <w:sz w:val="22"/>
          <w:szCs w:val="22"/>
        </w:rPr>
        <w:t xml:space="preserve">rtym w specyfikacji technicznej wykonania i odbioru robót, programie zapewnienia jakości lub projekcie organizacji robót, zaakceptowanym przez Inspektora nadzoru. </w:t>
      </w:r>
    </w:p>
    <w:p w14:paraId="55A9D3C8"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ma być utrzymywany w dobr</w:t>
      </w:r>
      <w:r>
        <w:rPr>
          <w:rFonts w:ascii="Calibri" w:eastAsia="Calibri" w:hAnsi="Calibri" w:cs="Calibri"/>
          <w:color w:val="000000"/>
          <w:sz w:val="22"/>
          <w:szCs w:val="22"/>
        </w:rPr>
        <w:t>ym stanie i gotowości do pracy. Będzie spełniał normy ochrony środowiska i przepisy dotyczące jego użytkowania. Wykonawca dostarczy Inspektorowi nadzoru kopie dokumentów potwierdzających dopuszczenie sprzętu do użytkowania, tam gdzie jest to wymagane przep</w:t>
      </w:r>
      <w:r>
        <w:rPr>
          <w:rFonts w:ascii="Calibri" w:eastAsia="Calibri" w:hAnsi="Calibri" w:cs="Calibri"/>
          <w:color w:val="000000"/>
          <w:sz w:val="22"/>
          <w:szCs w:val="22"/>
        </w:rPr>
        <w:t>isami.</w:t>
      </w:r>
    </w:p>
    <w:p w14:paraId="6F2E8987"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użyty w trakcie realizacji robót objętych specyfikacją powinien spełniać wymagania obowiązujące w budownictwie, powinien być sprawny, spełniać wymagania bhp oraz posiadać instrukcję obsługi. Osoby obsługujące sprzęt powinny być odpowiednio pr</w:t>
      </w:r>
      <w:r>
        <w:rPr>
          <w:rFonts w:ascii="Calibri" w:eastAsia="Calibri" w:hAnsi="Calibri" w:cs="Calibri"/>
          <w:color w:val="000000"/>
          <w:sz w:val="22"/>
          <w:szCs w:val="22"/>
        </w:rPr>
        <w:t xml:space="preserve">zeszkolone. </w:t>
      </w:r>
    </w:p>
    <w:p w14:paraId="675EF321"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40A23931"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w:t>
      </w:r>
      <w:r>
        <w:rPr>
          <w:rFonts w:ascii="Calibri" w:eastAsia="Calibri" w:hAnsi="Calibri" w:cs="Calibri"/>
          <w:color w:val="000000"/>
          <w:sz w:val="22"/>
          <w:szCs w:val="22"/>
        </w:rPr>
        <w:t xml:space="preserve">uzyska jego akceptację przed użyciem sprzętu. </w:t>
      </w:r>
    </w:p>
    <w:p w14:paraId="2A78DE79"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79FBA158" w14:textId="77777777" w:rsidR="00C01528" w:rsidRDefault="00A00E93">
      <w:pPr>
        <w:numPr>
          <w:ilvl w:val="0"/>
          <w:numId w:val="3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4569A18F"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67B6B5"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25D8E35F"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0C976E09"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8650BD0"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4782FB69" w14:textId="77777777" w:rsidR="00C01528" w:rsidRDefault="00C01528">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06F3C49D"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powinny być przewożone środkami transportu kołowego – samochodem skrzyniowym, wywrotką i samochodem dostawczym w sposób zapewniający uniknięcie uszkodzeń podczas t</w:t>
      </w:r>
      <w:r>
        <w:rPr>
          <w:rFonts w:ascii="Calibri" w:eastAsia="Calibri" w:hAnsi="Calibri" w:cs="Calibri"/>
          <w:color w:val="000000"/>
          <w:sz w:val="22"/>
          <w:szCs w:val="22"/>
        </w:rPr>
        <w:t xml:space="preserve">ransportu. </w:t>
      </w:r>
    </w:p>
    <w:p w14:paraId="50CA69DD"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004C3149"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Obowiązkiem wykonawcy jest pozyskanie wymaganych prawem zezwoleń na poruszanie się środkami transportu po terenie </w:t>
      </w:r>
      <w:r>
        <w:rPr>
          <w:rFonts w:ascii="Calibri" w:eastAsia="Calibri" w:hAnsi="Calibri" w:cs="Calibri"/>
          <w:color w:val="000000"/>
          <w:sz w:val="22"/>
          <w:szCs w:val="22"/>
        </w:rPr>
        <w:t>m.st. Warszawy.</w:t>
      </w:r>
    </w:p>
    <w:p w14:paraId="060B6383"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w:t>
      </w:r>
      <w:r>
        <w:rPr>
          <w:rFonts w:ascii="Calibri" w:eastAsia="Calibri" w:hAnsi="Calibri" w:cs="Calibri"/>
          <w:color w:val="000000"/>
          <w:sz w:val="22"/>
          <w:szCs w:val="22"/>
        </w:rPr>
        <w:t>m się i kostek. Palety powinny być spinane taśmami stalowymi lub plastikowymi. Na jednej palecie zaleca się układać do 10 warstw tak, aby masa palety z kostkami wynosiła od 1200 do 1700 kg. Pożądane jest, aby palety z kostkami były wysyłane do odbiorcy śro</w:t>
      </w:r>
      <w:r>
        <w:rPr>
          <w:rFonts w:ascii="Calibri" w:eastAsia="Calibri" w:hAnsi="Calibri" w:cs="Calibri"/>
          <w:color w:val="000000"/>
          <w:sz w:val="22"/>
          <w:szCs w:val="22"/>
        </w:rPr>
        <w:t>dkiem transportu samochodowego wyposażonym w dźwig do załadunku i rozładunku.</w:t>
      </w:r>
    </w:p>
    <w:p w14:paraId="7DF54F96"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w:t>
      </w:r>
      <w:r>
        <w:rPr>
          <w:rFonts w:ascii="Calibri" w:eastAsia="Calibri" w:hAnsi="Calibri" w:cs="Calibri"/>
          <w:color w:val="000000"/>
          <w:sz w:val="22"/>
          <w:szCs w:val="22"/>
        </w:rPr>
        <w:t>alety z kostkami wynosiła od 1200 do 1700 kg. Pożądane jest, aby palety z kostkami były wysyłane do odbiorcy środkiem transportu samochodowego wyposażonym w dźwig do załadunku i rozładunku.</w:t>
      </w:r>
    </w:p>
    <w:p w14:paraId="46FB2224"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w:t>
      </w:r>
      <w:r>
        <w:rPr>
          <w:rFonts w:ascii="Calibri" w:eastAsia="Calibri" w:hAnsi="Calibri" w:cs="Calibri"/>
          <w:color w:val="000000"/>
          <w:sz w:val="22"/>
          <w:szCs w:val="22"/>
        </w:rPr>
        <w:t xml:space="preserve">rtu. </w:t>
      </w:r>
    </w:p>
    <w:p w14:paraId="2B59A150"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w:t>
      </w:r>
      <w:r>
        <w:rPr>
          <w:rFonts w:ascii="Calibri" w:eastAsia="Calibri" w:hAnsi="Calibri" w:cs="Calibri"/>
          <w:color w:val="000000"/>
          <w:sz w:val="22"/>
          <w:szCs w:val="22"/>
        </w:rPr>
        <w:t xml:space="preserve"> spełnieniem warunku zachowania temperatury wbudowania. Zaleca się stosowanie samochodów termosów z podwójnymi ścianami skrzyni wyposażonej w system ogrzewczy.</w:t>
      </w:r>
    </w:p>
    <w:p w14:paraId="288E328F" w14:textId="77777777" w:rsidR="00C01528" w:rsidRDefault="00A00E93">
      <w:pPr>
        <w:numPr>
          <w:ilvl w:val="0"/>
          <w:numId w:val="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w:t>
      </w:r>
      <w:r>
        <w:rPr>
          <w:rFonts w:ascii="Calibri" w:eastAsia="Calibri" w:hAnsi="Calibri" w:cs="Calibri"/>
          <w:color w:val="000000"/>
          <w:sz w:val="22"/>
          <w:szCs w:val="22"/>
        </w:rPr>
        <w:t xml:space="preserve">nieczyszczeniem i zmieszaniem z innymi materiałami. Podczas transportu kruszywa powinny być zabezpieczone przed wysypaniem się, a kruszywo drobne przed zapyleniem. </w:t>
      </w:r>
    </w:p>
    <w:p w14:paraId="72367023"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D78E6E7"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123EECE2"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t>WYMAGANIA DOTYCZĄCE WYKONANIA I ODBIORU ROBÓT BUDOWLANYCH</w:t>
      </w:r>
    </w:p>
    <w:p w14:paraId="13126016"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2FCF87E"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7DD5E511"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1C1C194"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w:t>
      </w:r>
      <w:r>
        <w:rPr>
          <w:rFonts w:ascii="Calibri" w:eastAsia="Calibri" w:hAnsi="Calibri" w:cs="Calibri"/>
          <w:color w:val="000000"/>
          <w:sz w:val="22"/>
          <w:szCs w:val="22"/>
        </w:rPr>
        <w:t>zapisami w dzienniku budowy.</w:t>
      </w:r>
    </w:p>
    <w:p w14:paraId="512BFCBE"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w:t>
      </w:r>
      <w:r>
        <w:rPr>
          <w:rFonts w:ascii="Calibri" w:eastAsia="Calibri" w:hAnsi="Calibri" w:cs="Calibri"/>
          <w:color w:val="000000"/>
          <w:sz w:val="22"/>
          <w:szCs w:val="22"/>
        </w:rPr>
        <w:t>zeczowo - finansowym oraz poleceniami Inspektora nadzoru.</w:t>
      </w:r>
    </w:p>
    <w:p w14:paraId="1F8BE4C9"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54D4ABBD" w14:textId="77777777" w:rsidR="00C01528" w:rsidRDefault="00A00E93">
      <w:pPr>
        <w:numPr>
          <w:ilvl w:val="0"/>
          <w:numId w:val="26"/>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7DCD5EC1" w14:textId="77777777" w:rsidR="00C01528" w:rsidRDefault="00A00E93">
      <w:pPr>
        <w:numPr>
          <w:ilvl w:val="0"/>
          <w:numId w:val="26"/>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4AB8FDEF" w14:textId="77777777" w:rsidR="00C01528" w:rsidRDefault="00A00E93">
      <w:pPr>
        <w:numPr>
          <w:ilvl w:val="0"/>
          <w:numId w:val="26"/>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t>
      </w:r>
      <w:r>
        <w:rPr>
          <w:rFonts w:ascii="Calibri" w:eastAsia="Calibri" w:hAnsi="Calibri" w:cs="Calibri"/>
          <w:color w:val="000000"/>
          <w:sz w:val="22"/>
          <w:szCs w:val="22"/>
        </w:rPr>
        <w:t>wadzonych robót.</w:t>
      </w:r>
    </w:p>
    <w:p w14:paraId="35F2A25A"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384B1915" w14:textId="77777777" w:rsidR="00C01528" w:rsidRDefault="00A00E93">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340E11EC" w14:textId="77777777" w:rsidR="00C01528" w:rsidRDefault="00A00E93">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w:t>
      </w:r>
      <w:r>
        <w:rPr>
          <w:rFonts w:ascii="Calibri" w:eastAsia="Calibri" w:hAnsi="Calibri" w:cs="Calibri"/>
          <w:color w:val="000000"/>
          <w:sz w:val="22"/>
          <w:szCs w:val="22"/>
        </w:rPr>
        <w:t>enie i wokół terenu robót oraz będzie unikać uszkodzeń lub uciążliwości dla osób lub własności społecznej, a wynikających ze skażenia, hałasu lub innych przyczyn powstałych w następstwie jego sposobu działania.</w:t>
      </w:r>
    </w:p>
    <w:p w14:paraId="1AD255AA"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Stosując się do tych wymagań, Wykonawca będzi</w:t>
      </w:r>
      <w:r>
        <w:rPr>
          <w:rFonts w:ascii="Calibri" w:eastAsia="Calibri" w:hAnsi="Calibri" w:cs="Calibri"/>
          <w:color w:val="000000"/>
          <w:sz w:val="22"/>
          <w:szCs w:val="22"/>
        </w:rPr>
        <w:t xml:space="preserve">e miał szczególny wzgląd na: </w:t>
      </w:r>
    </w:p>
    <w:p w14:paraId="122D26D0" w14:textId="77777777" w:rsidR="00C01528" w:rsidRDefault="00A00E93">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6936BB0C" w14:textId="77777777" w:rsidR="00C01528" w:rsidRDefault="00A00E93">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73B2B21E" w14:textId="77777777" w:rsidR="00C01528" w:rsidRDefault="00A00E93">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29682548"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będzie przestrzegać przepisów ochrony przeciwpożarowej i utrzymywać sprawny sprzęt przeciwpożarowy, wymagany odpowiednimi przepisami. Materiały łatwopalne będą składowane w sposób zgodny z odpowiednimi przepisami i zabezpieczone przed dostępem os</w:t>
      </w:r>
      <w:r>
        <w:rPr>
          <w:rFonts w:ascii="Calibri" w:eastAsia="Calibri" w:hAnsi="Calibri" w:cs="Calibri"/>
          <w:color w:val="000000"/>
          <w:sz w:val="22"/>
          <w:szCs w:val="22"/>
        </w:rPr>
        <w:t xml:space="preserve">ób trzecich. </w:t>
      </w:r>
    </w:p>
    <w:p w14:paraId="1B6B02B7"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7353EBDC"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odpowiada za ochronę instalacji sieci i urządzeń itp. zlokalizowanych w miejscu prowadz</w:t>
      </w:r>
      <w:r>
        <w:rPr>
          <w:rFonts w:ascii="Calibri" w:eastAsia="Calibri" w:hAnsi="Calibri" w:cs="Calibri"/>
          <w:color w:val="000000"/>
          <w:sz w:val="22"/>
          <w:szCs w:val="22"/>
        </w:rPr>
        <w:t xml:space="preserve">enia robót budowlanych. </w:t>
      </w:r>
    </w:p>
    <w:p w14:paraId="758C5EC4"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251C6B2F"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 fakcie przypadkowego uszkodzenia, Wykonawca bezzwłocznie powiadomi Inspektora nadzoru </w:t>
      </w:r>
      <w:r>
        <w:rPr>
          <w:rFonts w:ascii="Calibri" w:eastAsia="Calibri" w:hAnsi="Calibri" w:cs="Calibri"/>
          <w:color w:val="000000"/>
          <w:sz w:val="22"/>
          <w:szCs w:val="22"/>
        </w:rPr>
        <w:t>i zainteresowanych użytkowników oraz będzie z nimi współpracował, dostarczając wszelkiej pomocy potrzebnej przy dokonaniu napraw. Wykonawca będzie odpowiadać za wszelkie spowodowane przez jego działanie uszkodzenia.</w:t>
      </w:r>
    </w:p>
    <w:p w14:paraId="4E48A5CB"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Następstwa jakiegokolwiek błędu spowodow</w:t>
      </w:r>
      <w:r>
        <w:rPr>
          <w:rFonts w:ascii="Calibri" w:eastAsia="Calibri" w:hAnsi="Calibri" w:cs="Calibri"/>
          <w:color w:val="000000"/>
          <w:sz w:val="22"/>
          <w:szCs w:val="22"/>
        </w:rPr>
        <w:t xml:space="preserve">anego przez Wykonawcę w wytyczeniu i wykonywaniu robót zostaną poprawione przez Wykonawcę na własny koszt. </w:t>
      </w:r>
    </w:p>
    <w:p w14:paraId="540D2DAB"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w:t>
      </w:r>
      <w:r>
        <w:rPr>
          <w:rFonts w:ascii="Calibri" w:eastAsia="Calibri" w:hAnsi="Calibri" w:cs="Calibri"/>
          <w:color w:val="000000"/>
          <w:sz w:val="22"/>
          <w:szCs w:val="22"/>
        </w:rPr>
        <w:t xml:space="preserve">umowy, dokumentacji projektowej i w specyfikacji technicznej, a także w normach i wytycznych. Przy podejmowaniu decyzji Inspektor nadzoru uwzględni wyniki badań materiałów i robót, rozrzuty normalnie występujące przy produkcji i przy badaniach materiałów, </w:t>
      </w:r>
      <w:r>
        <w:rPr>
          <w:rFonts w:ascii="Calibri" w:eastAsia="Calibri" w:hAnsi="Calibri" w:cs="Calibri"/>
          <w:color w:val="000000"/>
          <w:sz w:val="22"/>
          <w:szCs w:val="22"/>
        </w:rPr>
        <w:t xml:space="preserve">doświadczenia z przeszłości, wyniki badań naukowych oraz inne czynniki wpływające na rozważaną kwestię. </w:t>
      </w:r>
    </w:p>
    <w:p w14:paraId="189DD98E"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Polecenia Inspektora nadzoru dotyczące realizacji robót będą wykonywane przez Wykonawcę nie później niż w czasie przez niego wyznaczonym, pod groźba ws</w:t>
      </w:r>
      <w:r>
        <w:rPr>
          <w:rFonts w:ascii="Calibri" w:eastAsia="Calibri" w:hAnsi="Calibri" w:cs="Calibri"/>
          <w:color w:val="000000"/>
          <w:sz w:val="22"/>
          <w:szCs w:val="22"/>
        </w:rPr>
        <w:t xml:space="preserve">trzymania robót. Skutki finansowe z tytułu wstrzymania robót w takiej sytuacji ponosi Wykonawca. </w:t>
      </w:r>
    </w:p>
    <w:p w14:paraId="7AAFEDA8" w14:textId="77777777" w:rsidR="00C01528" w:rsidRDefault="00A00E93">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w:t>
      </w:r>
      <w:r>
        <w:rPr>
          <w:rFonts w:ascii="Calibri" w:eastAsia="Calibri" w:hAnsi="Calibri" w:cs="Calibri"/>
          <w:color w:val="000000"/>
          <w:sz w:val="22"/>
          <w:szCs w:val="22"/>
        </w:rPr>
        <w:t>. 2022 poz. 1518).</w:t>
      </w:r>
    </w:p>
    <w:p w14:paraId="4A3D3466"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29101C53"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6A1B6BE0"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39065468"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Roboty rozbiórkowe można wykonywać ręcznie mechanicznie lub w inny sposób określony z </w:t>
      </w:r>
      <w:r>
        <w:rPr>
          <w:rFonts w:ascii="Calibri" w:eastAsia="Calibri" w:hAnsi="Calibri" w:cs="Calibri"/>
          <w:color w:val="000000"/>
          <w:sz w:val="22"/>
          <w:szCs w:val="22"/>
        </w:rPr>
        <w:t xml:space="preserve">inspektorem nadzoru. </w:t>
      </w:r>
    </w:p>
    <w:p w14:paraId="42E0E010"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4800AE30"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powtórnym wbudowaniem wszystkie elementy z odzysku powinny być odebrane przez inspektora na</w:t>
      </w:r>
      <w:r>
        <w:rPr>
          <w:rFonts w:ascii="Calibri" w:eastAsia="Calibri" w:hAnsi="Calibri" w:cs="Calibri"/>
          <w:color w:val="000000"/>
          <w:sz w:val="22"/>
          <w:szCs w:val="22"/>
        </w:rPr>
        <w:t xml:space="preserve">dzoru. </w:t>
      </w:r>
    </w:p>
    <w:p w14:paraId="5D274240"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462570C9" w14:textId="77777777" w:rsidR="00C01528" w:rsidRDefault="00A00E93">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25649933" w14:textId="77777777" w:rsidR="00C01528" w:rsidRDefault="00C0152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1F560CA0"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432F1A76" w14:textId="77777777" w:rsidR="00C01528" w:rsidRDefault="00A00E93">
      <w:pPr>
        <w:numPr>
          <w:ilvl w:val="0"/>
          <w:numId w:val="7"/>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w:t>
      </w:r>
      <w:r>
        <w:rPr>
          <w:rFonts w:ascii="Calibri" w:eastAsia="Calibri" w:hAnsi="Calibri" w:cs="Calibri"/>
          <w:color w:val="000000"/>
          <w:sz w:val="22"/>
          <w:szCs w:val="22"/>
        </w:rPr>
        <w:t>się ruch budowlany, niezwiązany bezpośrednio z wykonaniem pierwszej warstwy nawierzchni. Koryto można wykonywać ręcznie, gdy jego szerokość nie pozwala na zastosowanie maszyn, na przykład na poszerzeniach lub w przypadku robót o małym zakresie. Sposób wyko</w:t>
      </w:r>
      <w:r>
        <w:rPr>
          <w:rFonts w:ascii="Calibri" w:eastAsia="Calibri" w:hAnsi="Calibri" w:cs="Calibri"/>
          <w:color w:val="000000"/>
          <w:sz w:val="22"/>
          <w:szCs w:val="22"/>
        </w:rPr>
        <w:t>nania musi być zaakceptowany przez Inspektora Nadzoru. Grunt odspojony w czasie wykonywania koryta powinien być, zgodnie z decyzją Inspektora Nadzoru wbudowany w nasyp lub odwieziony na odkład lub do utylizacji. Przed przystąpieniem do profilowania podłoże</w:t>
      </w:r>
      <w:r>
        <w:rPr>
          <w:rFonts w:ascii="Calibri" w:eastAsia="Calibri" w:hAnsi="Calibri" w:cs="Calibri"/>
          <w:color w:val="000000"/>
          <w:sz w:val="22"/>
          <w:szCs w:val="22"/>
        </w:rPr>
        <w:t xml:space="preserve"> powinno być oczyszczone ze wszelkich zanieczyszczeń. Po oczyszczeniu powierzchni podłoża należy sprawdzić, czy istniejące rzędne terenu umożliwiają uzyskanie po profilowaniu zaprojektowanych rzędnych podłoża. Zaleca się, aby rzędne terenu przed profilowan</w:t>
      </w:r>
      <w:r>
        <w:rPr>
          <w:rFonts w:ascii="Calibri" w:eastAsia="Calibri" w:hAnsi="Calibri" w:cs="Calibri"/>
          <w:color w:val="000000"/>
          <w:sz w:val="22"/>
          <w:szCs w:val="22"/>
        </w:rPr>
        <w:t>iem były, o co najmniej 5 cm wyższe niż projektowane rzędne podłoża.</w:t>
      </w:r>
    </w:p>
    <w:p w14:paraId="0116ED86" w14:textId="77777777" w:rsidR="00C01528" w:rsidRDefault="00A00E93">
      <w:pPr>
        <w:numPr>
          <w:ilvl w:val="0"/>
          <w:numId w:val="7"/>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powyższy warunek nie jest spełniony i występują zaniżenia poziomu w podłożu przewidzianym do profilowania, Wykonawca powinien spulchnić podłoże na głębokość zaakceptowaną przez Ins</w:t>
      </w:r>
      <w:r>
        <w:rPr>
          <w:rFonts w:ascii="Calibri" w:eastAsia="Calibri" w:hAnsi="Calibri" w:cs="Calibri"/>
          <w:color w:val="000000"/>
          <w:sz w:val="22"/>
          <w:szCs w:val="22"/>
        </w:rPr>
        <w:t>pektora Nadzoru, dowieźć dodatkowy grunt spełniający wymagania obowiązujące dla górnej strefy korpusu, w ilości koniecznej do uzyskania wymaganych rzędnych wysokościowych i zagęścić warstwę do uzyskania wartości wskaźnika zagęszczenia. Bezpośrednio po prof</w:t>
      </w:r>
      <w:r>
        <w:rPr>
          <w:rFonts w:ascii="Calibri" w:eastAsia="Calibri" w:hAnsi="Calibri" w:cs="Calibri"/>
          <w:color w:val="000000"/>
          <w:sz w:val="22"/>
          <w:szCs w:val="22"/>
        </w:rPr>
        <w:t xml:space="preserve">ilowaniu podłoża należy przystąpić do jego zagęszczania. Zagęszczanie podłoża należy kontynuować do osiągnięcia wskaźnika zagęszczenia nie mniejszego od podanego niżej  Wskaźnik zagęszczenia gruntu na górnej warstwie gr. 20 cm powinien wynosić 1 natomiast </w:t>
      </w:r>
      <w:r>
        <w:rPr>
          <w:rFonts w:ascii="Calibri" w:eastAsia="Calibri" w:hAnsi="Calibri" w:cs="Calibri"/>
          <w:color w:val="000000"/>
          <w:sz w:val="22"/>
          <w:szCs w:val="22"/>
        </w:rPr>
        <w:t xml:space="preserve">na głębokości od 20 cm do 50 cm 0,97.  </w:t>
      </w:r>
    </w:p>
    <w:p w14:paraId="67A2DA2F" w14:textId="77777777" w:rsidR="00C01528" w:rsidRDefault="00A00E93">
      <w:pPr>
        <w:numPr>
          <w:ilvl w:val="0"/>
          <w:numId w:val="7"/>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w:t>
      </w:r>
      <w:r>
        <w:rPr>
          <w:rFonts w:ascii="Calibri" w:eastAsia="Calibri" w:hAnsi="Calibri" w:cs="Calibri"/>
          <w:color w:val="000000"/>
          <w:sz w:val="22"/>
          <w:szCs w:val="22"/>
        </w:rPr>
        <w:t>ł odkształcenia podłoża według BN-64/8931-02. Stosunek wtórnego i pierwotnego modułu odkształcenia nie powinien przekraczać 2,2. Wilgotność gruntu podłoża podczas zagęszczania powinna być równa wilgotności optymalnej z tolerancją od -20% do +10%.</w:t>
      </w:r>
    </w:p>
    <w:p w14:paraId="6D99393B" w14:textId="77777777" w:rsidR="00C01528" w:rsidRDefault="00A00E93">
      <w:pPr>
        <w:numPr>
          <w:ilvl w:val="0"/>
          <w:numId w:val="7"/>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w:t>
      </w:r>
      <w:r>
        <w:rPr>
          <w:rFonts w:ascii="Calibri" w:eastAsia="Calibri" w:hAnsi="Calibri" w:cs="Calibri"/>
          <w:color w:val="000000"/>
          <w:sz w:val="22"/>
          <w:szCs w:val="22"/>
        </w:rPr>
        <w:t xml:space="preserve"> wykonaniu robót związanych z profilowaniem i zagęszczeniem podłoża nastąpi przerwa w robotach i Wykonawca nie przystąpi natychmiast do układania warstw nawierzchni, to powinien on zabezpieczyć podłoże przed nadmiernym zawilgoceniem, na przykład przez rozł</w:t>
      </w:r>
      <w:r>
        <w:rPr>
          <w:rFonts w:ascii="Calibri" w:eastAsia="Calibri" w:hAnsi="Calibri" w:cs="Calibri"/>
          <w:color w:val="000000"/>
          <w:sz w:val="22"/>
          <w:szCs w:val="22"/>
        </w:rPr>
        <w:t>ożenie folii lub w inny sposób zaakceptowany przez Inspektora. Jeżeli wyprofilowane i zagęszczone podłoże uległo nadmiernemu zawilgoceniu, to do układania kolejnej warstwy można przystąpić dopiero po jego naturalnym osuszeniu. Po osuszeniu podłoża Inspekto</w:t>
      </w:r>
      <w:r>
        <w:rPr>
          <w:rFonts w:ascii="Calibri" w:eastAsia="Calibri" w:hAnsi="Calibri" w:cs="Calibri"/>
          <w:color w:val="000000"/>
          <w:sz w:val="22"/>
          <w:szCs w:val="22"/>
        </w:rPr>
        <w:t>r oceni jego stan i ewentualnie zaleci wykonanie niezbędnych napraw. Jeżeli zawilgocenie nastąpiło wskutek zaniedbania Wykonawcy, to naprawę wykona on na własny koszt.</w:t>
      </w:r>
    </w:p>
    <w:p w14:paraId="2A3570EA"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5F398AD0"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3D8F242E" w14:textId="77777777" w:rsidR="00C01528" w:rsidRDefault="00A00E93">
      <w:pPr>
        <w:numPr>
          <w:ilvl w:val="0"/>
          <w:numId w:val="10"/>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podsypkowe powinny być wytyczone w sposób umożliwiający wykonanie ich zgodnie z dokumentacją projektową z tolerancjami określonymi w niniejszej specyfikacji. Kruszywo powinno być </w:t>
      </w:r>
      <w:r>
        <w:rPr>
          <w:rFonts w:ascii="Calibri" w:eastAsia="Calibri" w:hAnsi="Calibri" w:cs="Calibri"/>
          <w:color w:val="000000"/>
          <w:sz w:val="22"/>
          <w:szCs w:val="22"/>
        </w:rPr>
        <w:lastRenderedPageBreak/>
        <w:t>rozkładane w warstwie o jednakowej grubości, z zachowaniem wymaganych</w:t>
      </w:r>
      <w:r>
        <w:rPr>
          <w:rFonts w:ascii="Calibri" w:eastAsia="Calibri" w:hAnsi="Calibri" w:cs="Calibri"/>
          <w:color w:val="000000"/>
          <w:sz w:val="22"/>
          <w:szCs w:val="22"/>
        </w:rPr>
        <w:t xml:space="preserve"> spadków i rzędnych wysokościowych. Grubość rozłożonej warstwy luźnego kruszywa powinna być taka, aby po jej zagęszczeniu osiągnięto grubość projektowaną.</w:t>
      </w:r>
    </w:p>
    <w:p w14:paraId="376BD1A7"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w:t>
      </w:r>
      <w:r>
        <w:rPr>
          <w:rFonts w:ascii="Calibri" w:eastAsia="Calibri" w:hAnsi="Calibri" w:cs="Calibri"/>
          <w:color w:val="000000"/>
          <w:sz w:val="22"/>
          <w:szCs w:val="22"/>
        </w:rPr>
        <w:t xml:space="preserve"> na materiał o odpowiednich właściwościach. Po końcowym wyprofilowaniu warstwy odsączającej lub odcinającej należy przystąpić do jej zagęszczania</w:t>
      </w:r>
    </w:p>
    <w:p w14:paraId="3E56BE72"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lub zagłębienia powstałe w czasie zagęszczania powinny być wyrównywane na bieżąco przez spulchnien</w:t>
      </w:r>
      <w:r>
        <w:rPr>
          <w:rFonts w:ascii="Calibri" w:eastAsia="Calibri" w:hAnsi="Calibri" w:cs="Calibri"/>
          <w:color w:val="000000"/>
          <w:sz w:val="22"/>
          <w:szCs w:val="22"/>
        </w:rPr>
        <w:t xml:space="preserve">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0D4FFE5"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w:t>
      </w:r>
      <w:r>
        <w:rPr>
          <w:rFonts w:ascii="Calibri" w:eastAsia="Calibri" w:hAnsi="Calibri" w:cs="Calibri"/>
          <w:color w:val="000000"/>
          <w:sz w:val="22"/>
          <w:szCs w:val="22"/>
        </w:rPr>
        <w:t xml:space="preserve">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kontrolę zagęszczenia należy oprzeć na metodzie obciążeń płytowych. Należy określić pierwotny i wtórny moduł odkształceni</w:t>
      </w:r>
      <w:r>
        <w:rPr>
          <w:rFonts w:ascii="Calibri" w:eastAsia="Calibri" w:hAnsi="Calibri" w:cs="Calibri"/>
          <w:color w:val="000000"/>
          <w:sz w:val="22"/>
          <w:szCs w:val="22"/>
        </w:rPr>
        <w:t xml:space="preserve">a warstwy. Stosunek wtórnego i pierwotnego modułu odkształcenia nie powinien przekraczać 2,2. </w:t>
      </w:r>
    </w:p>
    <w:p w14:paraId="2669BDEC"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Wilgotność kruszywa podczas zagęszczania powinna być równa wilgotności optymalnej z tolerancją od -20% do +10% jej wartości. W przypadku, gdy wilgotność kruszywa</w:t>
      </w:r>
      <w:r>
        <w:rPr>
          <w:rFonts w:ascii="Calibri" w:eastAsia="Calibri" w:hAnsi="Calibri" w:cs="Calibri"/>
          <w:color w:val="000000"/>
          <w:sz w:val="22"/>
          <w:szCs w:val="22"/>
        </w:rPr>
        <w:t xml:space="preserve">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41A7D662"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Grubość </w:t>
      </w:r>
      <w:r>
        <w:rPr>
          <w:rFonts w:ascii="Calibri" w:eastAsia="Calibri" w:hAnsi="Calibri" w:cs="Calibri"/>
          <w:color w:val="000000"/>
          <w:sz w:val="22"/>
          <w:szCs w:val="22"/>
        </w:rPr>
        <w:t>warstw powinna być zgodna z określona w dokumentacji projektowej tolerancja +1, -2 cm. Jeżeli warstwa wykonana została w dwóch warstwach należy mierzyć łączną grubość tych warstw,</w:t>
      </w:r>
    </w:p>
    <w:p w14:paraId="5ED84AA9"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t>
      </w:r>
      <w:r>
        <w:rPr>
          <w:rFonts w:ascii="Calibri" w:eastAsia="Calibri" w:hAnsi="Calibri" w:cs="Calibri"/>
          <w:color w:val="000000"/>
          <w:sz w:val="22"/>
          <w:szCs w:val="22"/>
        </w:rPr>
        <w:t xml:space="preserve">więcej niż +10,- 5cm. </w:t>
      </w:r>
    </w:p>
    <w:p w14:paraId="2AB5262A"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0285DAE6"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642B6186"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Warstwa odsączają</w:t>
      </w:r>
      <w:r>
        <w:rPr>
          <w:rFonts w:ascii="Calibri" w:eastAsia="Calibri" w:hAnsi="Calibri" w:cs="Calibri"/>
          <w:color w:val="000000"/>
          <w:sz w:val="22"/>
          <w:szCs w:val="22"/>
        </w:rPr>
        <w:t xml:space="preserve">ca i odcinająca po wykonaniu, a przed ułożeniem następnej warstwy powinny być utrzymywane w dobrym stanie. </w:t>
      </w:r>
    </w:p>
    <w:p w14:paraId="6F4945D1" w14:textId="77777777" w:rsidR="00C01528" w:rsidRDefault="00A00E93">
      <w:pPr>
        <w:numPr>
          <w:ilvl w:val="0"/>
          <w:numId w:val="10"/>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69086898" w14:textId="77777777" w:rsidR="00C01528" w:rsidRDefault="00C01528">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02A19139"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0B4CF0CE" w14:textId="77777777" w:rsidR="00C01528" w:rsidRDefault="00A00E93">
      <w:pPr>
        <w:numPr>
          <w:ilvl w:val="0"/>
          <w:numId w:val="11"/>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w:t>
      </w:r>
      <w:r>
        <w:rPr>
          <w:rFonts w:ascii="Calibri" w:eastAsia="Calibri" w:hAnsi="Calibri" w:cs="Calibri"/>
          <w:color w:val="000000"/>
          <w:sz w:val="22"/>
          <w:szCs w:val="22"/>
        </w:rPr>
        <w:t>eszanki betonowej, jeżeli prognozy meteorologiczne wskazują na możliwy spadek temperatury poniżej 2°C w czasie najbliższych 7 dni. Podbudowę z chudego betonu należy układać na wilgotnym podłożu.</w:t>
      </w:r>
    </w:p>
    <w:p w14:paraId="21BED20D"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t>
      </w:r>
      <w:r>
        <w:rPr>
          <w:rFonts w:ascii="Calibri" w:eastAsia="Calibri" w:hAnsi="Calibri" w:cs="Calibri"/>
          <w:color w:val="000000"/>
          <w:sz w:val="22"/>
          <w:szCs w:val="22"/>
        </w:rPr>
        <w:t>wiadać grubości warstwy mieszanki betonowej w stanie niezagęszczonym.</w:t>
      </w:r>
    </w:p>
    <w:p w14:paraId="308D0492"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Mieszankę chudego betonu o ściśle określonym uziarnieniu, zawartości cementu i wilgotności optymalnej należy wytwarzać w mieszarkach stacjonarnych, gwarantujących otrzymanie jednorodnej </w:t>
      </w:r>
      <w:r>
        <w:rPr>
          <w:rFonts w:ascii="Calibri" w:eastAsia="Calibri" w:hAnsi="Calibri" w:cs="Calibri"/>
          <w:color w:val="000000"/>
          <w:sz w:val="22"/>
          <w:szCs w:val="22"/>
        </w:rPr>
        <w:t>mieszanki. Mieszanka po wyprodukowaniu powinna być od razu transportowana na miejsce wbudowania, w sposób zabezpieczony przed segregacją i nadmiernym wysychaniem.</w:t>
      </w:r>
    </w:p>
    <w:p w14:paraId="2CF5270D"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Przy układaniu mieszanki betonowej za pomocą równiarek konieczne jest stosowanie prowadnic. W</w:t>
      </w:r>
      <w:r>
        <w:rPr>
          <w:rFonts w:ascii="Calibri" w:eastAsia="Calibri" w:hAnsi="Calibri" w:cs="Calibri"/>
          <w:color w:val="000000"/>
          <w:sz w:val="22"/>
          <w:szCs w:val="22"/>
        </w:rPr>
        <w:t>budowanie za pomocą równiarek bez stosowania prowadnic, może odbywać się tylko w wyjątkowych wypadkach, za zgodą Inspektora Nadzoru.</w:t>
      </w:r>
    </w:p>
    <w:p w14:paraId="53E7DCEC"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w:t>
      </w:r>
      <w:r>
        <w:rPr>
          <w:rFonts w:ascii="Calibri" w:eastAsia="Calibri" w:hAnsi="Calibri" w:cs="Calibri"/>
          <w:color w:val="000000"/>
          <w:sz w:val="22"/>
          <w:szCs w:val="22"/>
        </w:rPr>
        <w:t>ksza grubość, to do układania drugiej warstwy można przystąpić najwcześniej po upływie 7 dni od wykonania pierwszej warstwy i po odbiorze jej przez Inspektora Nadzoru.</w:t>
      </w:r>
    </w:p>
    <w:p w14:paraId="01133EF7"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Natychmiast po rozłożeniu i wyprofilowaniu mieszanki należy rozpocząć jej zagęszczanie. </w:t>
      </w:r>
      <w:r>
        <w:rPr>
          <w:rFonts w:ascii="Calibri" w:eastAsia="Calibri" w:hAnsi="Calibri" w:cs="Calibri"/>
          <w:color w:val="000000"/>
          <w:sz w:val="22"/>
          <w:szCs w:val="22"/>
        </w:rPr>
        <w:t>Zagęszczanie podbudów o przekroju daszkowym powinno rozpocząć się od krawędzi i przesuwać się pasami podłużnymi, częściowo nakładającymi się w stronę osi jezdni. Zagęszczanie podbudów o jednostronnym spadku poprzecznym powinno rozpocząć się od niżej położo</w:t>
      </w:r>
      <w:r>
        <w:rPr>
          <w:rFonts w:ascii="Calibri" w:eastAsia="Calibri" w:hAnsi="Calibri" w:cs="Calibri"/>
          <w:color w:val="000000"/>
          <w:sz w:val="22"/>
          <w:szCs w:val="22"/>
        </w:rPr>
        <w:t>nej krawędzi i przesuwać się pasami podłużnymi, częściowo nakładającymi się, w stronę wyżej położonej krawędzi podbudowy. Pojawiające się w czasie wałowania zaniżenia, ubytki, rozwarstwienia i podobne wady, powinny być natychmiast naprawione przez zerwanie</w:t>
      </w:r>
      <w:r>
        <w:rPr>
          <w:rFonts w:ascii="Calibri" w:eastAsia="Calibri" w:hAnsi="Calibri" w:cs="Calibri"/>
          <w:color w:val="000000"/>
          <w:sz w:val="22"/>
          <w:szCs w:val="22"/>
        </w:rPr>
        <w:t xml:space="preserve"> warstwy w miejscach wadliwie wykonanych na pełną głębokość i wbudowanie nowej mieszanki albo przez ścięcie nadmiaru, wyrównanie i zagęszczenie. Powierzchnia zagęszczonej warstwy powinna mieć prawidłowy przekrój poprzeczny i jednolity wygląd. Zagęszczanie </w:t>
      </w:r>
      <w:r>
        <w:rPr>
          <w:rFonts w:ascii="Calibri" w:eastAsia="Calibri" w:hAnsi="Calibri" w:cs="Calibri"/>
          <w:color w:val="000000"/>
          <w:sz w:val="22"/>
          <w:szCs w:val="22"/>
        </w:rPr>
        <w:t xml:space="preserve">należy kontynuować do osiągnięcia wskaźnika zagęszczenia nie mniejszego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w:t>
      </w:r>
      <w:r>
        <w:rPr>
          <w:rFonts w:ascii="Calibri" w:eastAsia="Calibri" w:hAnsi="Calibri" w:cs="Calibri"/>
          <w:color w:val="000000"/>
          <w:sz w:val="22"/>
          <w:szCs w:val="22"/>
        </w:rPr>
        <w:t>ilgotność mieszanki betonowej podczas zagęszczania powinna być równa wilgotności optymalnej z tolerancją + 10% i - 20% jej wartości.</w:t>
      </w:r>
    </w:p>
    <w:p w14:paraId="5A6330D7"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w:t>
      </w:r>
      <w:r>
        <w:rPr>
          <w:rFonts w:ascii="Calibri" w:eastAsia="Calibri" w:hAnsi="Calibri" w:cs="Calibri"/>
          <w:color w:val="000000"/>
          <w:sz w:val="22"/>
          <w:szCs w:val="22"/>
        </w:rPr>
        <w:t xml:space="preserve"> podbudowy, należy pionową krawędź wykonanego pasa zwilżyć wodą. Przy podbudowie wykonanej bez prowadnic w ułożonej i zagęszczonej mieszance, należy wcześniej obciąć pionową krawędź. Po zwilżeniu jej wodą należy wbudować kolejny pas podbudowy. W podobny sp</w:t>
      </w:r>
      <w:r>
        <w:rPr>
          <w:rFonts w:ascii="Calibri" w:eastAsia="Calibri" w:hAnsi="Calibri" w:cs="Calibri"/>
          <w:color w:val="000000"/>
          <w:sz w:val="22"/>
          <w:szCs w:val="22"/>
        </w:rPr>
        <w:t>osób należy wykonać poprzeczną spoinę roboczą na połączeniu działek roboczych. Od obcięcia pionowej krawędzi we wcześniej wykonanej mieszance można odstąpić wtedy, gdy czas pomiędzy zakończeniem zagęszczania jednego pasa, a rozpoczęciem wbudowania sąsiedni</w:t>
      </w:r>
      <w:r>
        <w:rPr>
          <w:rFonts w:ascii="Calibri" w:eastAsia="Calibri" w:hAnsi="Calibri" w:cs="Calibri"/>
          <w:color w:val="000000"/>
          <w:sz w:val="22"/>
          <w:szCs w:val="22"/>
        </w:rPr>
        <w:t>ego pasa podbudowy, nie przekracza 60 minut. Jeżeli w dolnej warstwie podbudowy występują spoiny robocze, to spoiny w górnej warstwie podbudowy powinny być względem nich przesunięte o co najmniej 30 cm dla spoiny podłużnej i 1 m dla spoiny poprzecznej.</w:t>
      </w:r>
    </w:p>
    <w:p w14:paraId="2A55A144" w14:textId="77777777" w:rsidR="00C01528" w:rsidRDefault="00A00E93">
      <w:pPr>
        <w:numPr>
          <w:ilvl w:val="0"/>
          <w:numId w:val="11"/>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w:t>
      </w:r>
      <w:r>
        <w:rPr>
          <w:rFonts w:ascii="Calibri" w:eastAsia="Calibri" w:hAnsi="Calibri" w:cs="Calibri"/>
          <w:color w:val="000000"/>
          <w:sz w:val="22"/>
          <w:szCs w:val="22"/>
        </w:rPr>
        <w:t>budowa z chudego betonu powinna być natychmiast po zagęszczeniu poddana pielęgnacji. Pielęgnacja powinna być przeprowadzona według jednego z następujących sposobów:</w:t>
      </w:r>
    </w:p>
    <w:p w14:paraId="321887FE" w14:textId="77777777" w:rsidR="00C01528" w:rsidRDefault="00A00E93">
      <w:pPr>
        <w:numPr>
          <w:ilvl w:val="0"/>
          <w:numId w:val="1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t>
      </w:r>
      <w:r>
        <w:rPr>
          <w:rFonts w:ascii="Calibri" w:eastAsia="Calibri" w:hAnsi="Calibri" w:cs="Calibri"/>
          <w:color w:val="000000"/>
          <w:sz w:val="22"/>
          <w:szCs w:val="22"/>
        </w:rPr>
        <w:t>waniu ich użycia przez Inspektora Nadzoru,</w:t>
      </w:r>
    </w:p>
    <w:p w14:paraId="7225F064" w14:textId="77777777" w:rsidR="00C01528" w:rsidRDefault="00A00E93">
      <w:pPr>
        <w:numPr>
          <w:ilvl w:val="0"/>
          <w:numId w:val="1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3484135B" w14:textId="77777777" w:rsidR="00C01528" w:rsidRDefault="00A00E93">
      <w:pPr>
        <w:numPr>
          <w:ilvl w:val="0"/>
          <w:numId w:val="1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w:t>
      </w:r>
      <w:r>
        <w:rPr>
          <w:rFonts w:ascii="Calibri" w:eastAsia="Calibri" w:hAnsi="Calibri" w:cs="Calibri"/>
          <w:color w:val="000000"/>
          <w:sz w:val="22"/>
          <w:szCs w:val="22"/>
        </w:rPr>
        <w:t>ed zerwaniem z powierzchni podbudowy przez wiatr,</w:t>
      </w:r>
    </w:p>
    <w:p w14:paraId="49E75A9B" w14:textId="77777777" w:rsidR="00C01528" w:rsidRDefault="00A00E93">
      <w:pPr>
        <w:numPr>
          <w:ilvl w:val="0"/>
          <w:numId w:val="1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4B8BD043" w14:textId="77777777" w:rsidR="00C01528" w:rsidRDefault="00A00E93">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w:t>
      </w:r>
      <w:r>
        <w:rPr>
          <w:rFonts w:ascii="Calibri" w:eastAsia="Calibri" w:hAnsi="Calibri" w:cs="Calibri"/>
          <w:color w:val="000000"/>
          <w:sz w:val="22"/>
          <w:szCs w:val="22"/>
        </w:rPr>
        <w:t>ch budowlany może odbywać się wyłącznie za zgodą Inspektora Nadzoru.</w:t>
      </w:r>
    </w:p>
    <w:p w14:paraId="4DC18004" w14:textId="77777777" w:rsidR="00C01528" w:rsidRDefault="00A00E93">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Podbudowa po wykonaniu, a przed ułożeniem następnej warstwy, powinna być chroniona przed uszkodzeniami. Jeżeli Wykonawca będzie wykorzystywał, za zgodą Inspektora Nadzoru, gotową podbudow</w:t>
      </w:r>
      <w:r>
        <w:rPr>
          <w:rFonts w:ascii="Calibri" w:eastAsia="Calibri" w:hAnsi="Calibri" w:cs="Calibri"/>
          <w:color w:val="000000"/>
          <w:sz w:val="22"/>
          <w:szCs w:val="22"/>
        </w:rPr>
        <w:t xml:space="preserve">ę do ruchu budowlanego, to powinien naprawić wszelkie uszkodzenia podbudowy, spowodowane przez ten ruch, na własny koszt. </w:t>
      </w:r>
    </w:p>
    <w:p w14:paraId="135905F4" w14:textId="77777777" w:rsidR="00C01528" w:rsidRDefault="00A00E93">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przeprowadzenia bieżących napraw podbudowy, uszkodzonej wskutek oddziaływania czynników atmosferycznych</w:t>
      </w:r>
      <w:r>
        <w:rPr>
          <w:rFonts w:ascii="Calibri" w:eastAsia="Calibri" w:hAnsi="Calibri" w:cs="Calibri"/>
          <w:color w:val="000000"/>
          <w:sz w:val="22"/>
          <w:szCs w:val="22"/>
        </w:rPr>
        <w:t xml:space="preserve">, takich jak opady deszczu, śniegu i mróz. </w:t>
      </w:r>
    </w:p>
    <w:p w14:paraId="594615B7" w14:textId="77777777" w:rsidR="00C01528" w:rsidRDefault="00A00E93">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wstrzymać ruch budowlany po okresie intensywnych opadów deszczu, jeżeli wystąpi możliwość uszkodzenia podbudowy.</w:t>
      </w:r>
    </w:p>
    <w:p w14:paraId="70BBF088" w14:textId="77777777" w:rsidR="00C01528" w:rsidRDefault="00C0152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7507968D"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3F2796E2"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6CD43916"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Kostkę należy układać ok. 1,5 cm wyżej od projektowanej niwelety nawierzchni, gdyż w czasie wibrowania (ubijania) podsypka ulega zag</w:t>
      </w:r>
      <w:r>
        <w:rPr>
          <w:rFonts w:ascii="Calibri" w:eastAsia="Calibri" w:hAnsi="Calibri" w:cs="Calibri"/>
          <w:color w:val="000000"/>
          <w:sz w:val="22"/>
          <w:szCs w:val="22"/>
        </w:rPr>
        <w:t xml:space="preserve">ęszczeniu. </w:t>
      </w:r>
    </w:p>
    <w:p w14:paraId="249EEACB"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7FA23380"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ubijania ułożonej nawierzchni z kostek brukowych</w:t>
      </w:r>
      <w:r>
        <w:rPr>
          <w:rFonts w:ascii="Calibri" w:eastAsia="Calibri" w:hAnsi="Calibri" w:cs="Calibri"/>
          <w:color w:val="000000"/>
          <w:sz w:val="22"/>
          <w:szCs w:val="22"/>
        </w:rPr>
        <w:t xml:space="preserve"> stosuje się wibratory płytowe z osłoną z tworzywa sztucznego dla ochrony kostek przed uszkodzeniem i zabrudzeniem. </w:t>
      </w:r>
    </w:p>
    <w:p w14:paraId="0C9EB9D4"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404BA51A"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zagęszc</w:t>
      </w:r>
      <w:r>
        <w:rPr>
          <w:rFonts w:ascii="Calibri" w:eastAsia="Calibri" w:hAnsi="Calibri" w:cs="Calibri"/>
          <w:color w:val="000000"/>
          <w:sz w:val="22"/>
          <w:szCs w:val="22"/>
        </w:rPr>
        <w:t xml:space="preserve">zenia nawierzchni z betonowych kostek brukowych nie wolno używać walca. </w:t>
      </w:r>
    </w:p>
    <w:p w14:paraId="31099AEE"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Dzienną działkę roboczą nawierzchni na podsypce cementowo-piaskowej zaleca się zakończyć prowizorycznie około półmetrowym pasem nawierzchni na podsypce piaskowej w celu wytworzenia op</w:t>
      </w:r>
      <w:r>
        <w:rPr>
          <w:rFonts w:ascii="Calibri" w:eastAsia="Calibri" w:hAnsi="Calibri" w:cs="Calibri"/>
          <w:color w:val="000000"/>
          <w:sz w:val="22"/>
          <w:szCs w:val="22"/>
        </w:rPr>
        <w:t xml:space="preserve">oru dla ubicia kostki ułożonej na stałe. </w:t>
      </w:r>
    </w:p>
    <w:p w14:paraId="5889770C"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2CA8F85A" w14:textId="77777777" w:rsidR="00C01528" w:rsidRDefault="00A00E93">
      <w:pPr>
        <w:numPr>
          <w:ilvl w:val="0"/>
          <w:numId w:val="14"/>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694C6B3C" w14:textId="77777777" w:rsidR="00C01528" w:rsidRDefault="00C01528">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33BAD522"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218F4841"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w:t>
      </w:r>
      <w:r>
        <w:rPr>
          <w:rFonts w:ascii="Calibri" w:eastAsia="Calibri" w:hAnsi="Calibri" w:cs="Calibri"/>
          <w:color w:val="000000"/>
          <w:sz w:val="22"/>
          <w:szCs w:val="22"/>
        </w:rPr>
        <w:t>orowi Nadzoru do akceptacji.</w:t>
      </w:r>
    </w:p>
    <w:p w14:paraId="10D3A35B"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w:t>
      </w:r>
      <w:r>
        <w:rPr>
          <w:rFonts w:ascii="Calibri" w:eastAsia="Calibri" w:hAnsi="Calibri" w:cs="Calibri"/>
          <w:color w:val="000000"/>
          <w:sz w:val="22"/>
          <w:szCs w:val="22"/>
        </w:rPr>
        <w:t>cie laboratoryjnej.</w:t>
      </w:r>
    </w:p>
    <w:p w14:paraId="222EA750"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w:t>
      </w:r>
      <w:r>
        <w:rPr>
          <w:rFonts w:ascii="Calibri" w:eastAsia="Calibri" w:hAnsi="Calibri" w:cs="Calibri"/>
          <w:color w:val="000000"/>
          <w:sz w:val="22"/>
          <w:szCs w:val="22"/>
        </w:rPr>
        <w:t>atoryjną z tolerancją określoną w tablicy 17.</w:t>
      </w:r>
    </w:p>
    <w:p w14:paraId="72D565F3"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7FB51CD3"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w:t>
      </w:r>
      <w:r>
        <w:rPr>
          <w:rFonts w:ascii="Calibri" w:eastAsia="Calibri" w:hAnsi="Calibri" w:cs="Calibri"/>
          <w:color w:val="000000"/>
          <w:sz w:val="22"/>
          <w:szCs w:val="22"/>
        </w:rPr>
        <w:t>ineralno-asfaltowej należy prowadzić w sposób ciągły. Pomiar temperatury mieszanki mineralno-asfaltowej należy wykonać dla każdego pojazdu przy załadunku i w czasie wbudowywania. Dokładność pomiaru ± 2° C.</w:t>
      </w:r>
    </w:p>
    <w:p w14:paraId="621FCD1A"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w:t>
      </w:r>
      <w:r>
        <w:rPr>
          <w:rFonts w:ascii="Calibri" w:eastAsia="Calibri" w:hAnsi="Calibri" w:cs="Calibri"/>
          <w:color w:val="000000"/>
          <w:sz w:val="22"/>
          <w:szCs w:val="22"/>
        </w:rPr>
        <w:t xml:space="preserve"> należy wykonać dla każdego pojazdu przy załadunku i w czasie wbudowywania. Polega ono na ocenie wizualnej jej wyglądu w czasie produkcji, załadunku, rozładunku i wbudowywania.</w:t>
      </w:r>
    </w:p>
    <w:p w14:paraId="790C416C"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w:t>
      </w:r>
      <w:r>
        <w:rPr>
          <w:rFonts w:ascii="Calibri" w:eastAsia="Calibri" w:hAnsi="Calibri" w:cs="Calibri"/>
          <w:color w:val="000000"/>
          <w:sz w:val="22"/>
          <w:szCs w:val="22"/>
        </w:rPr>
        <w:t>a próbkach zagęszczonych metodą Marshalla.</w:t>
      </w:r>
    </w:p>
    <w:p w14:paraId="6636CA69"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w:t>
      </w:r>
      <w:r>
        <w:rPr>
          <w:rFonts w:ascii="Calibri" w:eastAsia="Calibri" w:hAnsi="Calibri" w:cs="Calibri"/>
          <w:color w:val="000000"/>
          <w:sz w:val="22"/>
          <w:szCs w:val="22"/>
        </w:rPr>
        <w:t>raniczonej krawężnikiem lub opornikiem w nowej konstrukcji nawierzchni, powinna być szersza z każdej strony, co najmniej o grubość warstwy na niej położonej, nie mniej jednak niż 5 cm.</w:t>
      </w:r>
    </w:p>
    <w:p w14:paraId="5F0019D9" w14:textId="77777777" w:rsidR="00C01528" w:rsidRDefault="00A00E93">
      <w:pPr>
        <w:numPr>
          <w:ilvl w:val="0"/>
          <w:numId w:val="15"/>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w:t>
      </w:r>
      <w:r>
        <w:rPr>
          <w:rFonts w:ascii="Calibri" w:eastAsia="Calibri" w:hAnsi="Calibri" w:cs="Calibri"/>
          <w:color w:val="000000"/>
          <w:sz w:val="22"/>
          <w:szCs w:val="22"/>
        </w:rPr>
        <w:t>ależy 10 razy na odcinku drogi o długości 1 km i nie powinny być one większe od podanych w tablicy 17.</w:t>
      </w:r>
    </w:p>
    <w:p w14:paraId="21EC95C4" w14:textId="77777777" w:rsidR="00C01528" w:rsidRDefault="00A00E93">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2"/>
        <w:tblW w:w="7935" w:type="dxa"/>
        <w:jc w:val="center"/>
        <w:tblInd w:w="0" w:type="dxa"/>
        <w:tblLayout w:type="fixed"/>
        <w:tblLook w:val="0000" w:firstRow="0" w:lastRow="0" w:firstColumn="0" w:lastColumn="0" w:noHBand="0" w:noVBand="0"/>
      </w:tblPr>
      <w:tblGrid>
        <w:gridCol w:w="623"/>
        <w:gridCol w:w="4146"/>
        <w:gridCol w:w="1439"/>
        <w:gridCol w:w="1727"/>
      </w:tblGrid>
      <w:tr w:rsidR="00C01528" w14:paraId="62DE45D1"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0C3A4451"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4146" w:type="dxa"/>
            <w:tcBorders>
              <w:top w:val="single" w:sz="4" w:space="0" w:color="000000"/>
              <w:left w:val="single" w:sz="4" w:space="0" w:color="000000"/>
              <w:bottom w:val="single" w:sz="4" w:space="0" w:color="000000"/>
            </w:tcBorders>
            <w:shd w:val="clear" w:color="auto" w:fill="FFFFFF"/>
          </w:tcPr>
          <w:p w14:paraId="325B8F2C" w14:textId="77777777" w:rsidR="00C01528" w:rsidRDefault="00A00E93">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7D906A37"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2847BB04" w14:textId="77777777" w:rsidR="00C01528" w:rsidRDefault="00A00E93">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C01528" w14:paraId="179AB7FE"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04295A11"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6" w:type="dxa"/>
            <w:tcBorders>
              <w:top w:val="single" w:sz="4" w:space="0" w:color="000000"/>
              <w:left w:val="single" w:sz="4" w:space="0" w:color="000000"/>
              <w:bottom w:val="single" w:sz="4" w:space="0" w:color="000000"/>
            </w:tcBorders>
            <w:shd w:val="clear" w:color="auto" w:fill="FFFFFF"/>
          </w:tcPr>
          <w:p w14:paraId="4170EA4F"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23D9B204"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718F0AB5"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C01528" w14:paraId="57B85D00"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25915707"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6" w:type="dxa"/>
            <w:tcBorders>
              <w:top w:val="single" w:sz="4" w:space="0" w:color="000000"/>
              <w:left w:val="single" w:sz="4" w:space="0" w:color="000000"/>
              <w:bottom w:val="single" w:sz="4" w:space="0" w:color="000000"/>
            </w:tcBorders>
            <w:shd w:val="clear" w:color="auto" w:fill="FFFFFF"/>
          </w:tcPr>
          <w:p w14:paraId="53C47385"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32909633"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6FDEF70B"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C01528" w14:paraId="2E5B99D4"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56D4BA84"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6" w:type="dxa"/>
            <w:tcBorders>
              <w:top w:val="single" w:sz="4" w:space="0" w:color="000000"/>
              <w:left w:val="single" w:sz="4" w:space="0" w:color="000000"/>
              <w:bottom w:val="single" w:sz="4" w:space="0" w:color="000000"/>
            </w:tcBorders>
            <w:shd w:val="clear" w:color="auto" w:fill="FFFFFF"/>
          </w:tcPr>
          <w:p w14:paraId="3A043AE9"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4F54D822"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4F461E1" w14:textId="77777777" w:rsidR="00C01528" w:rsidRDefault="00A00E93">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0B29307D" w14:textId="77777777" w:rsidR="00C01528" w:rsidRDefault="00A00E93">
      <w:pPr>
        <w:numPr>
          <w:ilvl w:val="0"/>
          <w:numId w:val="15"/>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Spadki poprzeczne warstwy z betonu asfaltowego na odcinkach prostych i na łukach należy mierzyć 10 razy na odcinku drogi o długości 1 km i powinny być one zgodne z istniejącymi, z tolerancją ± 0,5 %. Rzędne wysokościowe warstwy powinny być zgodne z wymagan</w:t>
      </w:r>
      <w:r>
        <w:rPr>
          <w:rFonts w:ascii="Calibri" w:eastAsia="Calibri" w:hAnsi="Calibri" w:cs="Calibri"/>
          <w:color w:val="000000"/>
          <w:sz w:val="22"/>
          <w:szCs w:val="22"/>
        </w:rPr>
        <w:t xml:space="preserve">ymi, wynikającymi z parametrów istniejącej nawierzchni, z tolerancją ± 1 cm. Oś warstwy w planie powinna być usytuowana zgodnie z wymaganiami, wynikającymi z parametrów istniejącej nawierzchni, z tolerancją ± 5 cm. Grubość warstwy należy mierzyć 3 razy (w </w:t>
      </w:r>
      <w:r>
        <w:rPr>
          <w:rFonts w:ascii="Calibri" w:eastAsia="Calibri" w:hAnsi="Calibri" w:cs="Calibri"/>
          <w:color w:val="000000"/>
          <w:sz w:val="22"/>
          <w:szCs w:val="22"/>
        </w:rPr>
        <w:t>osi i na brzegach warstwy) co 25 m i powinna być ona zgodna z grubością projektową z tolerancją± 10 %.</w:t>
      </w:r>
    </w:p>
    <w:p w14:paraId="4635D00D" w14:textId="77777777" w:rsidR="00C01528" w:rsidRDefault="00A00E93">
      <w:pPr>
        <w:numPr>
          <w:ilvl w:val="0"/>
          <w:numId w:val="15"/>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w:t>
      </w:r>
      <w:r>
        <w:rPr>
          <w:rFonts w:ascii="Calibri" w:eastAsia="Calibri" w:hAnsi="Calibri" w:cs="Calibri"/>
          <w:color w:val="000000"/>
          <w:sz w:val="22"/>
          <w:szCs w:val="22"/>
        </w:rPr>
        <w:t>cji wielowarstwowej powinny być przesunięte względem siebie co najmniej o 15 cm. Złącza powinny być całkowicie związane, a przylegające warstwy powinny być w jednym poziomie.</w:t>
      </w:r>
    </w:p>
    <w:p w14:paraId="197B55BF" w14:textId="77777777" w:rsidR="00C01528" w:rsidRDefault="00A00E93">
      <w:pPr>
        <w:numPr>
          <w:ilvl w:val="0"/>
          <w:numId w:val="15"/>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w:t>
      </w:r>
      <w:r>
        <w:rPr>
          <w:rFonts w:ascii="Calibri" w:eastAsia="Calibri" w:hAnsi="Calibri" w:cs="Calibri"/>
          <w:color w:val="000000"/>
          <w:sz w:val="22"/>
          <w:szCs w:val="22"/>
        </w:rPr>
        <w:t xml:space="preserve"> ścieralna przy opornikach drogowych i urządzeniach w jezdni powinna wystawać 3-^5 mm ponad ich powierzchnię. Warstwy bez oporników powinny być równo obcięte lub wyprofilowane oraz pokryte asfaltem.</w:t>
      </w:r>
    </w:p>
    <w:p w14:paraId="2B953DC1" w14:textId="77777777" w:rsidR="00C01528" w:rsidRDefault="00A00E93">
      <w:pPr>
        <w:numPr>
          <w:ilvl w:val="0"/>
          <w:numId w:val="15"/>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w:t>
      </w:r>
      <w:r>
        <w:rPr>
          <w:rFonts w:ascii="Calibri" w:eastAsia="Calibri" w:hAnsi="Calibri" w:cs="Calibri"/>
          <w:color w:val="000000"/>
          <w:sz w:val="22"/>
          <w:szCs w:val="22"/>
        </w:rPr>
        <w:t xml:space="preserve">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176EE5E4" w14:textId="77777777" w:rsidR="00C01528" w:rsidRDefault="00A00E93">
      <w:pPr>
        <w:numPr>
          <w:ilvl w:val="0"/>
          <w:numId w:val="15"/>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147607F7" w14:textId="77777777" w:rsidR="00C01528" w:rsidRDefault="00C01528">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0F1C41AF"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4A109DD5" w14:textId="77777777" w:rsidR="00C01528" w:rsidRDefault="00A00E93">
      <w:pPr>
        <w:numPr>
          <w:ilvl w:val="0"/>
          <w:numId w:val="1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nawierzchni z kostki kamiennej należy zastosować podsypkę cementowo-piaskową 1:4. Grubość podsypki powinna być zgodna z dokumentacją projektową i wynosić 3cm. Współczynnik wodno-</w:t>
      </w:r>
      <w:r>
        <w:rPr>
          <w:rFonts w:ascii="Calibri" w:eastAsia="Calibri" w:hAnsi="Calibri" w:cs="Calibri"/>
          <w:color w:val="000000"/>
          <w:sz w:val="22"/>
          <w:szCs w:val="22"/>
        </w:rPr>
        <w:t xml:space="preserve">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R28 = 14MPa. Kostkę układać można w deseń rzędowy prosty, który uzyskuje się przez układanie kostki rzędami prostopadłymi do osi drogi. Sz</w:t>
      </w:r>
      <w:r>
        <w:rPr>
          <w:rFonts w:ascii="Calibri" w:eastAsia="Calibri" w:hAnsi="Calibri" w:cs="Calibri"/>
          <w:color w:val="000000"/>
          <w:sz w:val="22"/>
          <w:szCs w:val="22"/>
        </w:rPr>
        <w:t>erokość spoin między kostkami nie powinna przekraczać 12 mm. Spoiny w sąsiednich rzędach powinny się mijać co najmniej o 1/4 szerokości kostki. Kostka użyta do układania nawierzchni powinna być jednego gatunku i z jednego rodzaju skał. Szczeliny dylatacyjn</w:t>
      </w:r>
      <w:r>
        <w:rPr>
          <w:rFonts w:ascii="Calibri" w:eastAsia="Calibri" w:hAnsi="Calibri" w:cs="Calibri"/>
          <w:color w:val="000000"/>
          <w:sz w:val="22"/>
          <w:szCs w:val="22"/>
        </w:rPr>
        <w:t xml:space="preserve">e poprzeczne należy stosować w nawierzchniach z kostki na zaprawie cementowej w odległości od 10 do 15 m oraz w takich miejscach, w których występuje dylatacja podbudowy lub zmiana sztywności podłoża. </w:t>
      </w:r>
    </w:p>
    <w:p w14:paraId="7A83C440" w14:textId="77777777" w:rsidR="00C01528" w:rsidRDefault="00A00E93">
      <w:pPr>
        <w:numPr>
          <w:ilvl w:val="0"/>
          <w:numId w:val="1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Kostkę na zaprawie cementowo-piaskowej można układać b</w:t>
      </w:r>
      <w:r>
        <w:rPr>
          <w:rFonts w:ascii="Calibri" w:eastAsia="Calibri" w:hAnsi="Calibri" w:cs="Calibri"/>
          <w:color w:val="000000"/>
          <w:sz w:val="22"/>
          <w:szCs w:val="22"/>
        </w:rPr>
        <w:t>ez środków ochronnych przed mrozem, jeżeli temperatura otoczenia jest +5°C lub wyższa. Nie należy układać kostki w temperaturze 0°C lub niższej. Jeżeli w ciągu dnia temperatura utrzymuje się w granicach od 0 do +5°C, a w nocy spodziewane są przymrozki, kos</w:t>
      </w:r>
      <w:r>
        <w:rPr>
          <w:rFonts w:ascii="Calibri" w:eastAsia="Calibri" w:hAnsi="Calibri" w:cs="Calibri"/>
          <w:color w:val="000000"/>
          <w:sz w:val="22"/>
          <w:szCs w:val="22"/>
        </w:rPr>
        <w:t xml:space="preserve">tkę należy zabezpieczyć przez nakrycie materiałem o złym przewodnictwie cieplnym. </w:t>
      </w:r>
    </w:p>
    <w:p w14:paraId="2C0CBD38" w14:textId="77777777" w:rsidR="00C01528" w:rsidRDefault="00A00E93">
      <w:pPr>
        <w:numPr>
          <w:ilvl w:val="0"/>
          <w:numId w:val="1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7FC3CB75" w14:textId="77777777" w:rsidR="00C01528" w:rsidRDefault="00A00E93">
      <w:pPr>
        <w:numPr>
          <w:ilvl w:val="0"/>
          <w:numId w:val="1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15613799" w14:textId="77777777" w:rsidR="00C01528" w:rsidRDefault="00A00E93">
      <w:pPr>
        <w:numPr>
          <w:ilvl w:val="0"/>
          <w:numId w:val="1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w:t>
      </w:r>
      <w:r>
        <w:rPr>
          <w:rFonts w:ascii="Calibri" w:eastAsia="Calibri" w:hAnsi="Calibri" w:cs="Calibri"/>
          <w:color w:val="000000"/>
          <w:sz w:val="22"/>
          <w:szCs w:val="22"/>
        </w:rPr>
        <w:t>ą cementowo-piaskową powinno być wykonane z zachowaniem następujących wymagań:</w:t>
      </w:r>
    </w:p>
    <w:p w14:paraId="4D9EB83B" w14:textId="77777777" w:rsidR="00C01528" w:rsidRDefault="00A00E93">
      <w:pPr>
        <w:numPr>
          <w:ilvl w:val="0"/>
          <w:numId w:val="17"/>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5D0E8C7E" w14:textId="77777777" w:rsidR="00C01528" w:rsidRDefault="00A00E93">
      <w:pPr>
        <w:numPr>
          <w:ilvl w:val="0"/>
          <w:numId w:val="17"/>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w:t>
      </w:r>
      <w:r>
        <w:rPr>
          <w:rFonts w:ascii="Calibri" w:eastAsia="Calibri" w:hAnsi="Calibri" w:cs="Calibri"/>
          <w:color w:val="000000"/>
          <w:sz w:val="22"/>
          <w:szCs w:val="22"/>
        </w:rPr>
        <w:t xml:space="preserve"> w stosunku objętościowym,</w:t>
      </w:r>
    </w:p>
    <w:p w14:paraId="1230AE8B" w14:textId="77777777" w:rsidR="00C01528" w:rsidRDefault="00A00E93">
      <w:pPr>
        <w:numPr>
          <w:ilvl w:val="0"/>
          <w:numId w:val="17"/>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70A4CC21" w14:textId="77777777" w:rsidR="00C01528" w:rsidRDefault="00A00E93">
      <w:pPr>
        <w:numPr>
          <w:ilvl w:val="0"/>
          <w:numId w:val="17"/>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7D3812AF" w14:textId="77777777" w:rsidR="00C01528" w:rsidRDefault="00A00E93">
      <w:pPr>
        <w:keepLines/>
        <w:numPr>
          <w:ilvl w:val="0"/>
          <w:numId w:val="16"/>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t>W celu pielęgnacji nawierzchni kostkowej, której spoiny są wypełnione zaprawą cementowo-piaskową należy polać nawierzchnię wodą w kilka godzin po zalaniu spoin i utrzymywać ją w stałej wilgotności przez okres jednej doby. Następnie nawierzchnię należy przy</w:t>
      </w:r>
      <w:r>
        <w:rPr>
          <w:rFonts w:ascii="Calibri" w:eastAsia="Calibri" w:hAnsi="Calibri" w:cs="Calibri"/>
          <w:color w:val="000000"/>
          <w:sz w:val="22"/>
          <w:szCs w:val="22"/>
        </w:rPr>
        <w:t>kryć piaskiem i utrzymywać w stałej wilgotności przez okres 7 dni. Po upływie od 2 do 3 tygodni - w zależności od warunków atmosferycznych, nawierzchnię należy oczyścić dokładnie z piasku i można oddać do ruchu.</w:t>
      </w:r>
    </w:p>
    <w:p w14:paraId="6B31B7C9" w14:textId="77777777" w:rsidR="00C01528" w:rsidRDefault="00C01528">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6D648FBB"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Wykonanie (odtworzenie) nawierzchni z płyt betonowych 35x35x5cm i 50x50x7cm oraz płyt betonowych sześciokątnych (trylinka) i płyt betonowych kwadratowych </w:t>
      </w:r>
    </w:p>
    <w:p w14:paraId="45EAE08F" w14:textId="77777777" w:rsidR="00C01528" w:rsidRDefault="00A00E93">
      <w:pPr>
        <w:numPr>
          <w:ilvl w:val="0"/>
          <w:numId w:val="1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w:t>
      </w:r>
      <w:r>
        <w:rPr>
          <w:rFonts w:ascii="Calibri" w:eastAsia="Calibri" w:hAnsi="Calibri" w:cs="Calibri"/>
          <w:color w:val="000000"/>
          <w:sz w:val="22"/>
          <w:szCs w:val="22"/>
        </w:rPr>
        <w:t xml:space="preserv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5EB5AFE1" w14:textId="77777777" w:rsidR="00C01528" w:rsidRDefault="00A00E93">
      <w:pPr>
        <w:numPr>
          <w:ilvl w:val="0"/>
          <w:numId w:val="1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w:t>
      </w:r>
      <w:r>
        <w:rPr>
          <w:rFonts w:ascii="Calibri" w:eastAsia="Calibri" w:hAnsi="Calibri" w:cs="Calibri"/>
          <w:color w:val="000000"/>
          <w:sz w:val="22"/>
          <w:szCs w:val="22"/>
        </w:rPr>
        <w:t>ania płyt betonowych na odcinkach prostych i łukach powinien być zgodny z układem istniejącej (rozebranej) nawierzchni. Przy wypełnianiu spoin przez zamulanie - piasek powinien zawierać od 3 do 8% frakcji mniejszej od 0,05 mm, a zamulenie powinno być wykon</w:t>
      </w:r>
      <w:r>
        <w:rPr>
          <w:rFonts w:ascii="Calibri" w:eastAsia="Calibri" w:hAnsi="Calibri" w:cs="Calibri"/>
          <w:color w:val="000000"/>
          <w:sz w:val="22"/>
          <w:szCs w:val="22"/>
        </w:rPr>
        <w:t xml:space="preserve">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wykonane w głąb nie mniej niż na 2/3 wysokości płyty. Przy wypełnianiu spoin masą zalewową - przed zalaniem spoiny powinny być wypełnione piaskiem do </w:t>
      </w:r>
      <w:r>
        <w:rPr>
          <w:rFonts w:ascii="Calibri" w:eastAsia="Calibri" w:hAnsi="Calibri" w:cs="Calibri"/>
          <w:color w:val="000000"/>
          <w:sz w:val="22"/>
          <w:szCs w:val="22"/>
        </w:rPr>
        <w:t>2/3 wysokości płyt.</w:t>
      </w:r>
    </w:p>
    <w:p w14:paraId="7B293416" w14:textId="77777777" w:rsidR="00C01528" w:rsidRDefault="00A00E93">
      <w:pPr>
        <w:numPr>
          <w:ilvl w:val="0"/>
          <w:numId w:val="1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w:t>
      </w:r>
      <w:r>
        <w:rPr>
          <w:rFonts w:ascii="Calibri" w:eastAsia="Calibri" w:hAnsi="Calibri" w:cs="Calibri"/>
          <w:color w:val="000000"/>
          <w:sz w:val="22"/>
          <w:szCs w:val="22"/>
        </w:rPr>
        <w:t>nianiu spoin masą zalewową.</w:t>
      </w:r>
    </w:p>
    <w:p w14:paraId="76C018AA" w14:textId="77777777" w:rsidR="00C01528" w:rsidRDefault="00A00E93">
      <w:pPr>
        <w:numPr>
          <w:ilvl w:val="0"/>
          <w:numId w:val="1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w:t>
      </w:r>
      <w:r>
        <w:rPr>
          <w:rFonts w:ascii="Calibri" w:eastAsia="Calibri" w:hAnsi="Calibri" w:cs="Calibri"/>
          <w:color w:val="000000"/>
          <w:sz w:val="22"/>
          <w:szCs w:val="22"/>
        </w:rPr>
        <w:t xml:space="preserve"> nawierzchniach placów oprócz szczelin poprzecznych powinny być wykonane szczeliny podłużne w odstępach co 5 do 7 m.</w:t>
      </w:r>
    </w:p>
    <w:p w14:paraId="427F2885" w14:textId="77777777" w:rsidR="00C01528" w:rsidRDefault="00C01528">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23424C69" w14:textId="77777777" w:rsidR="00C01528" w:rsidRDefault="00A00E93">
      <w:pPr>
        <w:keepNext/>
        <w:numPr>
          <w:ilvl w:val="1"/>
          <w:numId w:val="27"/>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417A26AB"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062A55C0"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t>
      </w:r>
      <w:r>
        <w:rPr>
          <w:rFonts w:ascii="Calibri" w:eastAsia="Calibri" w:hAnsi="Calibri" w:cs="Calibri"/>
          <w:color w:val="000000"/>
          <w:sz w:val="22"/>
          <w:szCs w:val="22"/>
        </w:rPr>
        <w:t xml:space="preserve">wykopu powinny odpowiadać wymiarom ławy w planie z uwzględnieniem w szerokości dna wykopu ew. konstrukcji szalunku. </w:t>
      </w:r>
    </w:p>
    <w:p w14:paraId="2128623F"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54DC6E8"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w:t>
      </w:r>
      <w:r>
        <w:rPr>
          <w:rFonts w:ascii="Calibri" w:eastAsia="Calibri" w:hAnsi="Calibri" w:cs="Calibri"/>
          <w:color w:val="000000"/>
          <w:sz w:val="22"/>
          <w:szCs w:val="22"/>
        </w:rPr>
        <w:t xml:space="preserve">nowe zwykłe w gruntach spoistych wykonuje się bez szalowania, przy gruntach sypkich należy stosować szalowanie. </w:t>
      </w:r>
    </w:p>
    <w:p w14:paraId="33D478B7"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betonowe z oporem wykonuje się w szalowaniu. Beton rozścielony w szalowaniu lub bezpośrednio w korycie powinien być wyrównywany warstwami.</w:t>
      </w:r>
      <w:r>
        <w:rPr>
          <w:rFonts w:ascii="Calibri" w:eastAsia="Calibri" w:hAnsi="Calibri" w:cs="Calibri"/>
          <w:color w:val="000000"/>
          <w:sz w:val="22"/>
          <w:szCs w:val="22"/>
        </w:rPr>
        <w:t xml:space="preserve"> Betonowanie ław należy wykonywać zgodnie z wymaganiami PN-B-06251 lub równoważnej, przy czym należy stosować, co 50m szczeliny dylatacyjne wypełnione bitumiczną masą zalewową. </w:t>
      </w:r>
    </w:p>
    <w:p w14:paraId="7927D46D"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Światło (odległość górnej powierzchni krawężnika od jezdni) powinno być zgodne</w:t>
      </w:r>
      <w:r>
        <w:rPr>
          <w:rFonts w:ascii="Calibri" w:eastAsia="Calibri" w:hAnsi="Calibri" w:cs="Calibri"/>
          <w:color w:val="000000"/>
          <w:sz w:val="22"/>
          <w:szCs w:val="22"/>
        </w:rPr>
        <w:t xml:space="preserve"> z ustaleniami dokumentacji projektowej, a w przypadku braku takich ustaleń powinno wynosić od 10 do 12cm. W przypadkach wyjątkowych (np. ze względu na „wyrobienie” ścieku) może być zmniejszone do 6cm lub zwiększone do 16cm. </w:t>
      </w:r>
    </w:p>
    <w:p w14:paraId="080D5289"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Zewnętrzna ściana krawężnika o</w:t>
      </w:r>
      <w:r>
        <w:rPr>
          <w:rFonts w:ascii="Calibri" w:eastAsia="Calibri" w:hAnsi="Calibri" w:cs="Calibri"/>
          <w:color w:val="000000"/>
          <w:sz w:val="22"/>
          <w:szCs w:val="22"/>
        </w:rPr>
        <w:t xml:space="preserve">d strony chodnika powinna być po ustawieniu krawężnika obsypana piaskiem, żwirem, tłuczniem lub miejscowym gruntem przepuszczalnym, starannie ubitym. </w:t>
      </w:r>
    </w:p>
    <w:p w14:paraId="02240BD8"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krawężników nie powinny przekraczać szerokości 1cm. Spoiny należy wypełnić żwirem, piaskiem lub za</w:t>
      </w:r>
      <w:r>
        <w:rPr>
          <w:rFonts w:ascii="Calibri" w:eastAsia="Calibri" w:hAnsi="Calibri" w:cs="Calibri"/>
          <w:color w:val="000000"/>
          <w:sz w:val="22"/>
          <w:szCs w:val="22"/>
        </w:rPr>
        <w:t xml:space="preserve">prawą cementowo-piaskową, przygotowaną w stosunku 1:2. </w:t>
      </w:r>
    </w:p>
    <w:p w14:paraId="3BE7082E"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Zalewanie spoin krawężników zaprawą cementowo-piaskową stosuje się wyłącznie do krawężników ustawionych na ławie betonowej. </w:t>
      </w:r>
    </w:p>
    <w:p w14:paraId="293194B9"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6E2336AD" w14:textId="77777777" w:rsidR="00C01528" w:rsidRDefault="00A00E93">
      <w:pPr>
        <w:numPr>
          <w:ilvl w:val="0"/>
          <w:numId w:val="1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w:t>
      </w:r>
      <w:r>
        <w:rPr>
          <w:rFonts w:ascii="Calibri" w:eastAsia="Calibri" w:hAnsi="Calibri" w:cs="Calibri"/>
          <w:color w:val="000000"/>
          <w:sz w:val="22"/>
          <w:szCs w:val="22"/>
        </w:rPr>
        <w:t xml:space="preserve"> zabezpieczenia przed wpływami temperatury krawężniki ustawione na podsypce cementowo-piaskowej i o spoinach zalanych zaprawą należy zalewać, co 50m bitumiczną masą zalewową nad szczeliną dylatacyjną ławy.</w:t>
      </w:r>
    </w:p>
    <w:p w14:paraId="57F570E6" w14:textId="77777777" w:rsidR="00C01528" w:rsidRDefault="00C0152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7DF910AD"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5701B6FB"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77D59804" w14:textId="77777777" w:rsidR="00C01528" w:rsidRDefault="00A00E93">
      <w:pPr>
        <w:keepNext/>
        <w:numPr>
          <w:ilvl w:val="0"/>
          <w:numId w:val="20"/>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5835D3AD" w14:textId="77777777" w:rsidR="00C01528" w:rsidRDefault="00A00E93">
      <w:pPr>
        <w:keepNext/>
        <w:numPr>
          <w:ilvl w:val="0"/>
          <w:numId w:val="20"/>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w:t>
      </w:r>
      <w:r>
        <w:rPr>
          <w:rFonts w:ascii="Calibri" w:eastAsia="Calibri" w:hAnsi="Calibri" w:cs="Calibri"/>
          <w:color w:val="000000"/>
          <w:sz w:val="22"/>
          <w:szCs w:val="22"/>
        </w:rPr>
        <w:t xml:space="preserve"> obejmować:</w:t>
      </w:r>
    </w:p>
    <w:p w14:paraId="2406885D"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29AA1C92"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7E16DD22"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E2E6839" w14:textId="77777777" w:rsidR="00C01528" w:rsidRDefault="00A00E93">
      <w:pPr>
        <w:numPr>
          <w:ilvl w:val="0"/>
          <w:numId w:val="2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65612ABF"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5BB1CBA2"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EDDF56B" w14:textId="77777777" w:rsidR="00C01528" w:rsidRDefault="00A00E93">
      <w:pPr>
        <w:numPr>
          <w:ilvl w:val="0"/>
          <w:numId w:val="21"/>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341CF578" w14:textId="77777777" w:rsidR="00C01528" w:rsidRDefault="00A00E93">
      <w:pPr>
        <w:numPr>
          <w:ilvl w:val="0"/>
          <w:numId w:val="21"/>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5601D023"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1E9ABCDD"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314C1E36"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502FD2BC"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55B45D53"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036D09A1" w14:textId="77777777" w:rsidR="00C01528" w:rsidRDefault="00A00E93">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09171C1D" w14:textId="77777777" w:rsidR="00C01528" w:rsidRDefault="00A00E93">
      <w:pPr>
        <w:numPr>
          <w:ilvl w:val="0"/>
          <w:numId w:val="2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należy przeprowadzać zgodnie z wymaganiami norm. W przypadk</w:t>
      </w:r>
      <w:r>
        <w:rPr>
          <w:rFonts w:ascii="Calibri" w:eastAsia="Calibri" w:hAnsi="Calibri" w:cs="Calibri"/>
          <w:color w:val="000000"/>
          <w:sz w:val="22"/>
          <w:szCs w:val="22"/>
        </w:rPr>
        <w:t xml:space="preserve">u braku norm można stosować wytyczne krajowe, lub inne procedury zaakceptowane przez Inspektora Nadzoru. Oryginały wyników badań należy przekazać Inspektorowi Nadzoru. </w:t>
      </w:r>
    </w:p>
    <w:p w14:paraId="569E47F8" w14:textId="77777777" w:rsidR="00C01528" w:rsidRDefault="00A00E93">
      <w:pPr>
        <w:numPr>
          <w:ilvl w:val="0"/>
          <w:numId w:val="2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113BE138"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w:t>
      </w:r>
      <w:r>
        <w:rPr>
          <w:rFonts w:ascii="Calibri" w:eastAsia="Calibri" w:hAnsi="Calibri" w:cs="Calibri"/>
          <w:b/>
          <w:color w:val="000000"/>
          <w:sz w:val="22"/>
          <w:szCs w:val="22"/>
        </w:rPr>
        <w:t>dbudowa</w:t>
      </w:r>
    </w:p>
    <w:p w14:paraId="413BD8F1" w14:textId="77777777" w:rsidR="00C01528" w:rsidRDefault="00A00E93">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2FFE66D9"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4DBC6FBE" w14:textId="77777777" w:rsidR="00C01528" w:rsidRDefault="00A00E93">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5117AEDA"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149BD17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38BE9346"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0224B94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55E39767" w14:textId="77777777" w:rsidR="00C01528" w:rsidRDefault="00A00E93">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t>Spadki poprzeczne podbudowy</w:t>
      </w:r>
    </w:p>
    <w:p w14:paraId="17342B6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4770F45E" w14:textId="77777777" w:rsidR="00C01528" w:rsidRDefault="00A00E93">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t>Rzędne wysokościowe podbudowy</w:t>
      </w:r>
    </w:p>
    <w:p w14:paraId="535B829A"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w:t>
      </w:r>
      <w:r>
        <w:rPr>
          <w:rFonts w:ascii="Calibri" w:eastAsia="Calibri" w:hAnsi="Calibri" w:cs="Calibri"/>
          <w:color w:val="000000"/>
          <w:sz w:val="22"/>
          <w:szCs w:val="22"/>
        </w:rPr>
        <w:t>owinny przekraczać ± 1 cm,</w:t>
      </w:r>
    </w:p>
    <w:p w14:paraId="78AE4095"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FF090E2" w14:textId="77777777" w:rsidR="00C01528" w:rsidRDefault="00A00E93">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lastRenderedPageBreak/>
        <w:t>Grubość podbudowy</w:t>
      </w:r>
    </w:p>
    <w:p w14:paraId="5AF31893"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3B029D83" w14:textId="77777777" w:rsidR="00C01528" w:rsidRDefault="00A00E93">
      <w:pPr>
        <w:numPr>
          <w:ilvl w:val="0"/>
          <w:numId w:val="2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6E6189D2" w14:textId="77777777" w:rsidR="00C01528" w:rsidRDefault="00A00E93">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2EF13853"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770A8584"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69B11016"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48C31500" w14:textId="77777777" w:rsidR="00C01528" w:rsidRDefault="00A00E93">
      <w:pPr>
        <w:numPr>
          <w:ilvl w:val="0"/>
          <w:numId w:val="1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7F09883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2BBCE4A1" w14:textId="77777777" w:rsidR="00C01528" w:rsidRDefault="00A00E93">
      <w:pPr>
        <w:numPr>
          <w:ilvl w:val="0"/>
          <w:numId w:val="1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089BC53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5AE88DF7"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269B1A2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w:t>
      </w:r>
      <w:r>
        <w:rPr>
          <w:rFonts w:ascii="Calibri" w:eastAsia="Calibri" w:hAnsi="Calibri" w:cs="Calibri"/>
          <w:color w:val="000000"/>
          <w:sz w:val="22"/>
          <w:szCs w:val="22"/>
        </w:rPr>
        <w:t>ości ubijania (wibrowania),</w:t>
      </w:r>
    </w:p>
    <w:p w14:paraId="2747AA8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0364EA43"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517BC62F" w14:textId="77777777" w:rsidR="00C01528" w:rsidRDefault="00A00E93">
      <w:pPr>
        <w:numPr>
          <w:ilvl w:val="0"/>
          <w:numId w:val="1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146EDB9C"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w:t>
      </w:r>
      <w:r>
        <w:rPr>
          <w:rFonts w:ascii="Calibri" w:eastAsia="Calibri" w:hAnsi="Calibri" w:cs="Calibri"/>
          <w:color w:val="000000"/>
          <w:sz w:val="22"/>
          <w:szCs w:val="22"/>
        </w:rPr>
        <w:t>em</w:t>
      </w:r>
      <w:proofErr w:type="spellEnd"/>
      <w:r>
        <w:rPr>
          <w:rFonts w:ascii="Calibri" w:eastAsia="Calibri" w:hAnsi="Calibri" w:cs="Calibri"/>
          <w:color w:val="000000"/>
          <w:sz w:val="22"/>
          <w:szCs w:val="22"/>
        </w:rPr>
        <w:t xml:space="preserve"> nie powinny przekraczać 0,8cm. Spadki poprzeczne nawierzchni powinny być zgodne z dokumentacją projektową z tolerancją +(-) 0,5%. Różnice pomiędzy rzędnymi wykonanej nawierzchni i rzędnymi projektowanymi nie powinny przekraczać +(-) 1,0cm. Szerokość naw</w:t>
      </w:r>
      <w:r>
        <w:rPr>
          <w:rFonts w:ascii="Calibri" w:eastAsia="Calibri" w:hAnsi="Calibri" w:cs="Calibri"/>
          <w:color w:val="000000"/>
          <w:sz w:val="22"/>
          <w:szCs w:val="22"/>
        </w:rPr>
        <w:t xml:space="preserve">ierzchni nie może różnić się od szerokości projektowanej o więcej niż +(-) 5,0cm. Dopuszczalne odchyłki od projektowanej grubości podsypki nie powinny przekraczać +(-) 1,0cm. Dopuszczalne odchyłki od projektowanej grubości podsypki nie powinny przekraczać </w:t>
      </w:r>
      <w:r>
        <w:rPr>
          <w:rFonts w:ascii="Calibri" w:eastAsia="Calibri" w:hAnsi="Calibri" w:cs="Calibri"/>
          <w:color w:val="000000"/>
          <w:sz w:val="22"/>
          <w:szCs w:val="22"/>
        </w:rPr>
        <w:t>+(-)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7BEB9DAD"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190CE3EC"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1E9081C5" w14:textId="77777777" w:rsidR="00C01528" w:rsidRDefault="00A00E93">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28CF1C6A"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2C81CAAD"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w:t>
      </w:r>
      <w:r>
        <w:rPr>
          <w:rFonts w:ascii="Calibri" w:eastAsia="Calibri" w:hAnsi="Calibri" w:cs="Calibri"/>
          <w:color w:val="000000"/>
          <w:sz w:val="22"/>
          <w:szCs w:val="22"/>
        </w:rPr>
        <w:t>stawie oględzin elementu przez pomiar i policzenie uszkodzeń występujących na powierzchniach i krawędziach elementu. Pomiary długości i głębokości uszkodzeń należy wykonać za pomocą przymiaru stalowego lub suwmiarki z dokładnością do 1mm. Sprawdzenie kszta</w:t>
      </w:r>
      <w:r>
        <w:rPr>
          <w:rFonts w:ascii="Calibri" w:eastAsia="Calibri" w:hAnsi="Calibri" w:cs="Calibri"/>
          <w:color w:val="000000"/>
          <w:sz w:val="22"/>
          <w:szCs w:val="22"/>
        </w:rPr>
        <w:t>łtu i wymiarów elementów należy przeprowadzić z dokładnością do 1mm przy użyciu suwmiarki oraz przymiaru stalowego lub taśmy zgodnie z wymaganiami tablicy 1 i 2. Sprawdzenie kątów prostych w narożach elementów wykonuje się przez przyłożenie kątownika do ba</w:t>
      </w:r>
      <w:r>
        <w:rPr>
          <w:rFonts w:ascii="Calibri" w:eastAsia="Calibri" w:hAnsi="Calibri" w:cs="Calibri"/>
          <w:color w:val="000000"/>
          <w:sz w:val="22"/>
          <w:szCs w:val="22"/>
        </w:rPr>
        <w:t xml:space="preserve">danego naroża i zmierzenia odchyłek z dokładnością do 1mm. Sprawdzenie kształtu i wymiarów elementów należy przeprowadzić z dokładnością do 1mm przy użyciu suwmiarki oraz przymiaru stalowego lub taśmy zgodnie z wymaganiami tablicy 1 i 2. Sprawdzenie kątów </w:t>
      </w:r>
      <w:r>
        <w:rPr>
          <w:rFonts w:ascii="Calibri" w:eastAsia="Calibri" w:hAnsi="Calibri" w:cs="Calibri"/>
          <w:color w:val="000000"/>
          <w:sz w:val="22"/>
          <w:szCs w:val="22"/>
        </w:rPr>
        <w:t>prostych w narożach elementów wykonuje się przez przyłożenie kątownika do badanego naroża i zmierzenia odchyłek z dokładnością do 1mm.</w:t>
      </w:r>
    </w:p>
    <w:p w14:paraId="0A492338"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32D8E30D"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Badania w czasie robót</w:t>
      </w:r>
    </w:p>
    <w:p w14:paraId="458B3D0B" w14:textId="77777777" w:rsidR="00C01528" w:rsidRDefault="00A00E93">
      <w:pPr>
        <w:numPr>
          <w:ilvl w:val="0"/>
          <w:numId w:val="30"/>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09B1A83D"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7F8FEC7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4F6ECBC5" w14:textId="77777777" w:rsidR="00C01528" w:rsidRDefault="00A00E93">
      <w:pPr>
        <w:numPr>
          <w:ilvl w:val="0"/>
          <w:numId w:val="30"/>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688C363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66096453"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w:t>
      </w:r>
      <w:r>
        <w:rPr>
          <w:rFonts w:ascii="Calibri" w:eastAsia="Calibri" w:hAnsi="Calibri" w:cs="Calibri"/>
          <w:color w:val="000000"/>
          <w:sz w:val="22"/>
          <w:szCs w:val="22"/>
        </w:rPr>
        <w:t>ową. Profil podłużny górnej powierzchni ławy powinien być zgodny z projektowaną niweletą. Dopuszczalne odchylenia mogą wynosić +(-) 1cm na każde 100m ławy.</w:t>
      </w:r>
    </w:p>
    <w:p w14:paraId="115ABDC4"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w:t>
      </w:r>
      <w:r>
        <w:rPr>
          <w:rFonts w:ascii="Calibri" w:eastAsia="Calibri" w:hAnsi="Calibri" w:cs="Calibri"/>
          <w:color w:val="000000"/>
          <w:sz w:val="22"/>
          <w:szCs w:val="22"/>
        </w:rPr>
        <w:t xml:space="preserve"> Tolerancje wymiarów wynoszą:</w:t>
      </w:r>
    </w:p>
    <w:p w14:paraId="612EB41C"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57C080F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0F1F978A"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4A053185"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 Zagęszczenie ław. </w:t>
      </w:r>
      <w:r>
        <w:rPr>
          <w:rFonts w:ascii="Calibri" w:eastAsia="Calibri" w:hAnsi="Calibri" w:cs="Calibri"/>
          <w:color w:val="000000"/>
          <w:sz w:val="22"/>
          <w:szCs w:val="22"/>
        </w:rPr>
        <w:t>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4449917C"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555F178A" w14:textId="77777777" w:rsidR="00C01528" w:rsidRDefault="00A00E93">
      <w:pPr>
        <w:numPr>
          <w:ilvl w:val="0"/>
          <w:numId w:val="30"/>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3C16ECA3"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56810B7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2FA0F346"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 xml:space="preserve">dopuszczalne odchylenie niweletą górnej płaszczyzny krawężnika od niweletą projektowanej, które wynosi +(-) 1cm na </w:t>
      </w:r>
      <w:r>
        <w:rPr>
          <w:rFonts w:ascii="Calibri" w:eastAsia="Calibri" w:hAnsi="Calibri" w:cs="Calibri"/>
          <w:color w:val="000000"/>
          <w:sz w:val="22"/>
          <w:szCs w:val="22"/>
        </w:rPr>
        <w:t>każde 100m ustawionego krawężnika,</w:t>
      </w:r>
    </w:p>
    <w:p w14:paraId="4CA19C9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w:t>
      </w:r>
      <w:r>
        <w:rPr>
          <w:rFonts w:ascii="Calibri" w:eastAsia="Calibri" w:hAnsi="Calibri" w:cs="Calibri"/>
          <w:color w:val="000000"/>
          <w:sz w:val="22"/>
          <w:szCs w:val="22"/>
        </w:rPr>
        <w:t>zekraczać 1cm,</w:t>
      </w:r>
    </w:p>
    <w:p w14:paraId="6F025195"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4700A874"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F4B568F"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0844A5C9"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4C98D0FB"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D96198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225E42E9"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t xml:space="preserve"> Ogólne zasady odbioru robót</w:t>
      </w:r>
    </w:p>
    <w:p w14:paraId="1539A995"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uznaje się za zgodne ze specyfikacją techniczną wykonania i odbioru robót budowlanych, wymaganiami Inspektora nadzoru, jeżeli wszystkie pomiary </w:t>
      </w:r>
      <w:r>
        <w:rPr>
          <w:rFonts w:ascii="Calibri" w:eastAsia="Calibri" w:hAnsi="Calibri" w:cs="Calibri"/>
          <w:color w:val="000000"/>
          <w:sz w:val="22"/>
          <w:szCs w:val="22"/>
        </w:rPr>
        <w:t>i badania z zachowaniem tolerancji dały wyniki pozytywne.</w:t>
      </w:r>
    </w:p>
    <w:p w14:paraId="602B70CD"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D9340BC"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t>Roboty podlegają następującym etapom odbioru:</w:t>
      </w:r>
    </w:p>
    <w:p w14:paraId="15276B74" w14:textId="77777777" w:rsidR="00C01528" w:rsidRDefault="00A00E93">
      <w:pPr>
        <w:numPr>
          <w:ilvl w:val="0"/>
          <w:numId w:val="2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2451FE0F" w14:textId="77777777" w:rsidR="00C01528" w:rsidRDefault="00A00E93">
      <w:pPr>
        <w:numPr>
          <w:ilvl w:val="0"/>
          <w:numId w:val="2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788C52C6" w14:textId="77777777" w:rsidR="00C01528" w:rsidRDefault="00A00E93">
      <w:pPr>
        <w:numPr>
          <w:ilvl w:val="0"/>
          <w:numId w:val="2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odbiór końcowy,</w:t>
      </w:r>
    </w:p>
    <w:p w14:paraId="3A506127"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38ABEC4F"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3695760E"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1EDECB62" w14:textId="77777777" w:rsidR="00C01528" w:rsidRDefault="00A00E93">
      <w:pPr>
        <w:numPr>
          <w:ilvl w:val="0"/>
          <w:numId w:val="3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642D2F56" w14:textId="77777777" w:rsidR="00C01528" w:rsidRDefault="00A00E93">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347DF40C" w14:textId="77777777" w:rsidR="00C01528" w:rsidRDefault="00A00E93">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5F084939" w14:textId="77777777" w:rsidR="00C01528" w:rsidRDefault="00A00E93">
      <w:pPr>
        <w:numPr>
          <w:ilvl w:val="0"/>
          <w:numId w:val="3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5BEDF9E1"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53981556"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 xml:space="preserve">Odbiór danego etapu robót nastąpi po wykonaniu wszystkich robót określonych w umowie w zakresie danego etapu zgodnie z harmonogramem rzeczowo-finansowym, zgodnie z obowiązującymi normami, przepisami i wymaganiami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po przedstawie</w:t>
      </w:r>
      <w:r>
        <w:rPr>
          <w:rFonts w:ascii="Calibri" w:eastAsia="Calibri" w:hAnsi="Calibri" w:cs="Calibri"/>
          <w:color w:val="000000"/>
          <w:sz w:val="22"/>
          <w:szCs w:val="22"/>
        </w:rPr>
        <w:t>niu dokumentów potwierdzającymi jakość wbudowanych materiałów oraz dopuszczenia stosowania ich w budownictwie i uporządkowania terenu.</w:t>
      </w:r>
    </w:p>
    <w:p w14:paraId="0C7773F7" w14:textId="77777777" w:rsidR="00C01528" w:rsidRDefault="00A00E93">
      <w:pPr>
        <w:keepNext/>
        <w:numPr>
          <w:ilvl w:val="1"/>
          <w:numId w:val="27"/>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5DA87789"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w:t>
      </w:r>
      <w:r>
        <w:rPr>
          <w:rFonts w:ascii="Calibri" w:eastAsia="Calibri" w:hAnsi="Calibri" w:cs="Calibri"/>
          <w:color w:val="000000"/>
          <w:sz w:val="22"/>
          <w:szCs w:val="22"/>
        </w:rPr>
        <w:t>iązanych z budowa sieci ciepłowniczej, oraz z dokonaniem odbioru końcowego sieci ciepłowniczej oraz po przekazaniu terenu właścicielowi.</w:t>
      </w:r>
    </w:p>
    <w:p w14:paraId="22FEB470"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05CF538"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29383897"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6CDFCB20"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0807565"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3B249DC0"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06C4A479" w14:textId="77777777" w:rsidR="00C01528" w:rsidRDefault="00A00E93">
      <w:pPr>
        <w:keepNext/>
        <w:numPr>
          <w:ilvl w:val="0"/>
          <w:numId w:val="27"/>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40E661A4" w14:textId="77777777" w:rsidR="00C01528" w:rsidRDefault="00A00E93">
      <w:pPr>
        <w:keepNext/>
        <w:numPr>
          <w:ilvl w:val="1"/>
          <w:numId w:val="27"/>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613CA672" w14:textId="77777777" w:rsidR="00C01528" w:rsidRDefault="00A00E93">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6ECA4365"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60886DAE" w14:textId="77777777" w:rsidR="00C01528" w:rsidRDefault="00A00E93">
      <w:pPr>
        <w:keepNext/>
        <w:numPr>
          <w:ilvl w:val="1"/>
          <w:numId w:val="27"/>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6CE48CF1"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r>
      <w:r>
        <w:rPr>
          <w:rFonts w:ascii="Calibri" w:eastAsia="Calibri" w:hAnsi="Calibri" w:cs="Calibri"/>
          <w:color w:val="000000"/>
          <w:sz w:val="22"/>
          <w:szCs w:val="22"/>
        </w:rPr>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16FFE680"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723A742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47879440"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r>
      <w:r>
        <w:rPr>
          <w:rFonts w:ascii="Calibri" w:eastAsia="Calibri" w:hAnsi="Calibri" w:cs="Calibri"/>
          <w:color w:val="000000"/>
          <w:sz w:val="22"/>
          <w:szCs w:val="22"/>
        </w:rPr>
        <w:t>Cement. Cement powszechnego użytku. Skład, wymagania i ocena zgodności,</w:t>
      </w:r>
    </w:p>
    <w:p w14:paraId="374F3431"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4920694"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2113403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r>
      <w:r>
        <w:rPr>
          <w:rFonts w:ascii="Calibri" w:eastAsia="Calibri" w:hAnsi="Calibri" w:cs="Calibri"/>
          <w:color w:val="000000"/>
          <w:sz w:val="22"/>
          <w:szCs w:val="22"/>
        </w:rPr>
        <w:t>Prefabrykaty budowlane z betonu. Elementy nawierzchni dróg, ulic, parkingów i torowisk tramwajowych. Krawężniki i obrzeża,</w:t>
      </w:r>
    </w:p>
    <w:p w14:paraId="7A947AB0"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D33AEE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32CA4650"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 xml:space="preserve">Drogi samochodowe. Pomiar równości nawierzchni </w:t>
      </w:r>
      <w:proofErr w:type="spellStart"/>
      <w:r>
        <w:rPr>
          <w:rFonts w:ascii="Calibri" w:eastAsia="Calibri" w:hAnsi="Calibri" w:cs="Calibri"/>
          <w:color w:val="000000"/>
          <w:sz w:val="22"/>
          <w:szCs w:val="22"/>
        </w:rPr>
        <w:t>plano</w:t>
      </w:r>
      <w:r>
        <w:rPr>
          <w:rFonts w:ascii="Calibri" w:eastAsia="Calibri" w:hAnsi="Calibri" w:cs="Calibri"/>
          <w:color w:val="000000"/>
          <w:sz w:val="22"/>
          <w:szCs w:val="22"/>
        </w:rPr>
        <w:t>grafem</w:t>
      </w:r>
      <w:proofErr w:type="spellEnd"/>
      <w:r>
        <w:rPr>
          <w:rFonts w:ascii="Calibri" w:eastAsia="Calibri" w:hAnsi="Calibri" w:cs="Calibri"/>
          <w:color w:val="000000"/>
          <w:sz w:val="22"/>
          <w:szCs w:val="22"/>
        </w:rPr>
        <w:t xml:space="preserve"> i łatą,</w:t>
      </w:r>
    </w:p>
    <w:p w14:paraId="14F835D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11365D96"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DB10D3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3C55135B"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w:t>
      </w:r>
      <w:r>
        <w:rPr>
          <w:rFonts w:ascii="Calibri" w:eastAsia="Calibri" w:hAnsi="Calibri" w:cs="Calibri"/>
          <w:color w:val="000000"/>
          <w:sz w:val="22"/>
          <w:szCs w:val="22"/>
        </w:rPr>
        <w:t>rzchni drogowych,</w:t>
      </w:r>
    </w:p>
    <w:p w14:paraId="26D46732"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PN-B-11115:1998</w:t>
      </w:r>
      <w:r>
        <w:rPr>
          <w:rFonts w:ascii="Calibri" w:eastAsia="Calibri" w:hAnsi="Calibri" w:cs="Calibri"/>
          <w:color w:val="000000"/>
          <w:sz w:val="22"/>
          <w:szCs w:val="22"/>
        </w:rPr>
        <w:tab/>
        <w:t>Kruszywa mineralne. Kruszywa sztuczne z żużla stalowniczego do nawierzchni drogowych,</w:t>
      </w:r>
    </w:p>
    <w:p w14:paraId="3D87BA89"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B0BFDA7"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360EA804"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w:t>
      </w:r>
      <w:r>
        <w:rPr>
          <w:rFonts w:ascii="Calibri" w:eastAsia="Calibri" w:hAnsi="Calibri" w:cs="Calibri"/>
          <w:color w:val="000000"/>
          <w:sz w:val="22"/>
          <w:szCs w:val="22"/>
        </w:rPr>
        <w:t xml:space="preserve"> nawierzchni drogowych,</w:t>
      </w:r>
    </w:p>
    <w:p w14:paraId="6B506BB4"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0740D8D2"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DCAB0A7"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43E7D1A2"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F61FAF6"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r>
      <w:r>
        <w:rPr>
          <w:rFonts w:ascii="Calibri" w:eastAsia="Calibri" w:hAnsi="Calibri" w:cs="Calibri"/>
          <w:color w:val="000000"/>
          <w:sz w:val="22"/>
          <w:szCs w:val="22"/>
        </w:rPr>
        <w:t>Prefabrykaty budowlane z betonu. Elementy nawierzchni dróg, ulic, parkingów i torowisk tramwajowych. Krawężniki i obrzeża,</w:t>
      </w:r>
    </w:p>
    <w:p w14:paraId="5CE5714D"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38912E"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3A26755E"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707160F3"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w:t>
      </w:r>
      <w:r>
        <w:rPr>
          <w:rFonts w:ascii="Calibri" w:eastAsia="Calibri" w:hAnsi="Calibri" w:cs="Calibri"/>
          <w:color w:val="000000"/>
          <w:sz w:val="22"/>
          <w:szCs w:val="22"/>
        </w:rPr>
        <w:t>praw,</w:t>
      </w:r>
    </w:p>
    <w:p w14:paraId="48A14742" w14:textId="77777777" w:rsidR="00C01528" w:rsidRDefault="00A00E93">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6E3787EA"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63660D26"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5D134F6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Materiały budowlane. Woda do betonów i zapraw,</w:t>
      </w:r>
    </w:p>
    <w:p w14:paraId="48DB2CFD"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1B59D3A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601A9805"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7746E18A"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5475048"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w:t>
      </w:r>
      <w:r>
        <w:rPr>
          <w:rFonts w:ascii="Calibri" w:eastAsia="Calibri" w:hAnsi="Calibri" w:cs="Calibri"/>
          <w:color w:val="000000"/>
          <w:sz w:val="22"/>
          <w:szCs w:val="22"/>
        </w:rPr>
        <w:t>uktury z dnia 24 czerwca 2022 w sprawie przepisów techniczno-budowlanych dotyczących dróg publicznych (tekst jedn. Dz. U. 2022 poz. 1518),</w:t>
      </w:r>
    </w:p>
    <w:p w14:paraId="4BDFE2C0" w14:textId="77777777" w:rsidR="00C01528" w:rsidRDefault="00C015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70ABEAF"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22421EBC" w14:textId="77777777" w:rsidR="00C01528" w:rsidRDefault="00A00E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r>
      <w:r>
        <w:rPr>
          <w:rFonts w:ascii="Calibri" w:eastAsia="Calibri" w:hAnsi="Calibri" w:cs="Calibri"/>
          <w:color w:val="000000"/>
          <w:sz w:val="22"/>
          <w:szCs w:val="22"/>
        </w:rPr>
        <w:t>Drogi samochodowe – Odwodnienie dróg. Katalog typowych konstrukcji nawierzchni podatnych i półsztywnych. GDDP, Warszawa 1997r.</w:t>
      </w:r>
    </w:p>
    <w:p w14:paraId="5DA1DFFF"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61B2157"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9DAC910"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9606F6F"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39FE2A5"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7C6AE4F" w14:textId="77777777" w:rsidR="00C01528" w:rsidRDefault="00C01528">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C01528">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2DB2" w14:textId="77777777" w:rsidR="00A00E93" w:rsidRDefault="00A00E93">
      <w:pPr>
        <w:spacing w:line="240" w:lineRule="auto"/>
        <w:ind w:left="0" w:hanging="2"/>
      </w:pPr>
      <w:r>
        <w:separator/>
      </w:r>
    </w:p>
  </w:endnote>
  <w:endnote w:type="continuationSeparator" w:id="0">
    <w:p w14:paraId="4BE6F6C8" w14:textId="77777777" w:rsidR="00A00E93" w:rsidRDefault="00A00E9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6D6DD" w14:textId="77777777" w:rsidR="00C01528" w:rsidRDefault="00A00E93">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7489F">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8562" w14:textId="77777777" w:rsidR="00C01528" w:rsidRDefault="00A00E93">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7489F">
      <w:rPr>
        <w:noProof/>
        <w:color w:val="000000"/>
        <w:sz w:val="20"/>
        <w:szCs w:val="20"/>
      </w:rPr>
      <w:t>1</w:t>
    </w:r>
    <w:r>
      <w:rPr>
        <w:color w:val="000000"/>
        <w:sz w:val="20"/>
        <w:szCs w:val="20"/>
      </w:rPr>
      <w:fldChar w:fldCharType="end"/>
    </w:r>
  </w:p>
  <w:p w14:paraId="56C9E887" w14:textId="77777777" w:rsidR="00C01528" w:rsidRDefault="00C01528">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46041" w14:textId="77777777" w:rsidR="00A00E93" w:rsidRDefault="00A00E93">
      <w:pPr>
        <w:spacing w:line="240" w:lineRule="auto"/>
        <w:ind w:left="0" w:hanging="2"/>
      </w:pPr>
      <w:r>
        <w:separator/>
      </w:r>
    </w:p>
  </w:footnote>
  <w:footnote w:type="continuationSeparator" w:id="0">
    <w:p w14:paraId="7F1E70E1" w14:textId="77777777" w:rsidR="00A00E93" w:rsidRDefault="00A00E9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7CF1"/>
    <w:multiLevelType w:val="multilevel"/>
    <w:tmpl w:val="1C9AC2D6"/>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 w15:restartNumberingAfterBreak="0">
    <w:nsid w:val="0B7B228A"/>
    <w:multiLevelType w:val="multilevel"/>
    <w:tmpl w:val="9B20C62E"/>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B31404"/>
    <w:multiLevelType w:val="multilevel"/>
    <w:tmpl w:val="21A876EC"/>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3" w15:restartNumberingAfterBreak="0">
    <w:nsid w:val="17E03460"/>
    <w:multiLevelType w:val="multilevel"/>
    <w:tmpl w:val="1B54C83E"/>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4" w15:restartNumberingAfterBreak="0">
    <w:nsid w:val="18505C66"/>
    <w:multiLevelType w:val="multilevel"/>
    <w:tmpl w:val="1862ECA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5" w15:restartNumberingAfterBreak="0">
    <w:nsid w:val="1BDB4987"/>
    <w:multiLevelType w:val="multilevel"/>
    <w:tmpl w:val="FEAE0CCC"/>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D7A1AFA"/>
    <w:multiLevelType w:val="multilevel"/>
    <w:tmpl w:val="62DE38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F203381"/>
    <w:multiLevelType w:val="multilevel"/>
    <w:tmpl w:val="51440F0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0FB0256"/>
    <w:multiLevelType w:val="multilevel"/>
    <w:tmpl w:val="729A03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2BA0505B"/>
    <w:multiLevelType w:val="multilevel"/>
    <w:tmpl w:val="0D864F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00142EC"/>
    <w:multiLevelType w:val="multilevel"/>
    <w:tmpl w:val="36A827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56F2786"/>
    <w:multiLevelType w:val="multilevel"/>
    <w:tmpl w:val="0DF491F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72707EE"/>
    <w:multiLevelType w:val="multilevel"/>
    <w:tmpl w:val="E868876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3" w15:restartNumberingAfterBreak="0">
    <w:nsid w:val="38DE5CF1"/>
    <w:multiLevelType w:val="multilevel"/>
    <w:tmpl w:val="A8404EF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C320E80"/>
    <w:multiLevelType w:val="multilevel"/>
    <w:tmpl w:val="01F2E590"/>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3D192AF8"/>
    <w:multiLevelType w:val="multilevel"/>
    <w:tmpl w:val="5B8094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D5405FD"/>
    <w:multiLevelType w:val="multilevel"/>
    <w:tmpl w:val="EAD6DC42"/>
    <w:lvl w:ilvl="0">
      <w:start w:val="1"/>
      <w:numFmt w:val="decimal"/>
      <w:lvlText w:val="%1)"/>
      <w:lvlJc w:val="left"/>
      <w:pPr>
        <w:ind w:left="644" w:hanging="358"/>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7" w15:restartNumberingAfterBreak="0">
    <w:nsid w:val="3D5C3A15"/>
    <w:multiLevelType w:val="multilevel"/>
    <w:tmpl w:val="DD5474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FEE54C7"/>
    <w:multiLevelType w:val="multilevel"/>
    <w:tmpl w:val="365850F0"/>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9" w15:restartNumberingAfterBreak="0">
    <w:nsid w:val="40A25B63"/>
    <w:multiLevelType w:val="multilevel"/>
    <w:tmpl w:val="6D303CC6"/>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0" w15:restartNumberingAfterBreak="0">
    <w:nsid w:val="40E24E31"/>
    <w:multiLevelType w:val="multilevel"/>
    <w:tmpl w:val="D06088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44CF05F3"/>
    <w:multiLevelType w:val="multilevel"/>
    <w:tmpl w:val="D48A51E2"/>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2" w15:restartNumberingAfterBreak="0">
    <w:nsid w:val="4A12648F"/>
    <w:multiLevelType w:val="multilevel"/>
    <w:tmpl w:val="3942FF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C1C1FB9"/>
    <w:multiLevelType w:val="multilevel"/>
    <w:tmpl w:val="4574D9F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FDA12DD"/>
    <w:multiLevelType w:val="multilevel"/>
    <w:tmpl w:val="B68812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5A4263D5"/>
    <w:multiLevelType w:val="multilevel"/>
    <w:tmpl w:val="6C80C7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12B08CA"/>
    <w:multiLevelType w:val="multilevel"/>
    <w:tmpl w:val="C05C2244"/>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4CE0F11"/>
    <w:multiLevelType w:val="multilevel"/>
    <w:tmpl w:val="6D167B72"/>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28" w15:restartNumberingAfterBreak="0">
    <w:nsid w:val="6B950D33"/>
    <w:multiLevelType w:val="multilevel"/>
    <w:tmpl w:val="1966D56A"/>
    <w:lvl w:ilvl="0">
      <w:start w:val="1"/>
      <w:numFmt w:val="decimal"/>
      <w:lvlText w:val="%1)"/>
      <w:lvlJc w:val="left"/>
      <w:pPr>
        <w:ind w:left="744" w:hanging="358"/>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9" w15:restartNumberingAfterBreak="0">
    <w:nsid w:val="6CE84AB2"/>
    <w:multiLevelType w:val="multilevel"/>
    <w:tmpl w:val="A9326542"/>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30" w15:restartNumberingAfterBreak="0">
    <w:nsid w:val="6F624080"/>
    <w:multiLevelType w:val="multilevel"/>
    <w:tmpl w:val="6FD23508"/>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1" w15:restartNumberingAfterBreak="0">
    <w:nsid w:val="709F5D45"/>
    <w:multiLevelType w:val="multilevel"/>
    <w:tmpl w:val="C1C4F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3DF0DEE"/>
    <w:multiLevelType w:val="multilevel"/>
    <w:tmpl w:val="0FF0AE68"/>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33" w15:restartNumberingAfterBreak="0">
    <w:nsid w:val="75E81016"/>
    <w:multiLevelType w:val="multilevel"/>
    <w:tmpl w:val="AAFE47AA"/>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34" w15:restartNumberingAfterBreak="0">
    <w:nsid w:val="761C7458"/>
    <w:multiLevelType w:val="multilevel"/>
    <w:tmpl w:val="3B685FC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9835EB9"/>
    <w:multiLevelType w:val="multilevel"/>
    <w:tmpl w:val="49AA93A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36" w15:restartNumberingAfterBreak="0">
    <w:nsid w:val="7C32585F"/>
    <w:multiLevelType w:val="multilevel"/>
    <w:tmpl w:val="FFEA611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C5C322A"/>
    <w:multiLevelType w:val="multilevel"/>
    <w:tmpl w:val="70F4B95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D4A576E"/>
    <w:multiLevelType w:val="multilevel"/>
    <w:tmpl w:val="AB6E28B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6"/>
  </w:num>
  <w:num w:numId="2">
    <w:abstractNumId w:val="34"/>
  </w:num>
  <w:num w:numId="3">
    <w:abstractNumId w:val="11"/>
  </w:num>
  <w:num w:numId="4">
    <w:abstractNumId w:val="36"/>
  </w:num>
  <w:num w:numId="5">
    <w:abstractNumId w:val="23"/>
  </w:num>
  <w:num w:numId="6">
    <w:abstractNumId w:val="12"/>
  </w:num>
  <w:num w:numId="7">
    <w:abstractNumId w:val="32"/>
  </w:num>
  <w:num w:numId="8">
    <w:abstractNumId w:val="19"/>
  </w:num>
  <w:num w:numId="9">
    <w:abstractNumId w:val="0"/>
  </w:num>
  <w:num w:numId="10">
    <w:abstractNumId w:val="7"/>
  </w:num>
  <w:num w:numId="11">
    <w:abstractNumId w:val="2"/>
  </w:num>
  <w:num w:numId="12">
    <w:abstractNumId w:val="31"/>
  </w:num>
  <w:num w:numId="13">
    <w:abstractNumId w:val="30"/>
  </w:num>
  <w:num w:numId="14">
    <w:abstractNumId w:val="28"/>
  </w:num>
  <w:num w:numId="15">
    <w:abstractNumId w:val="27"/>
  </w:num>
  <w:num w:numId="16">
    <w:abstractNumId w:val="4"/>
  </w:num>
  <w:num w:numId="17">
    <w:abstractNumId w:val="13"/>
  </w:num>
  <w:num w:numId="18">
    <w:abstractNumId w:val="35"/>
  </w:num>
  <w:num w:numId="19">
    <w:abstractNumId w:val="37"/>
  </w:num>
  <w:num w:numId="20">
    <w:abstractNumId w:val="5"/>
  </w:num>
  <w:num w:numId="21">
    <w:abstractNumId w:val="10"/>
  </w:num>
  <w:num w:numId="22">
    <w:abstractNumId w:val="14"/>
  </w:num>
  <w:num w:numId="23">
    <w:abstractNumId w:val="8"/>
  </w:num>
  <w:num w:numId="24">
    <w:abstractNumId w:val="3"/>
  </w:num>
  <w:num w:numId="25">
    <w:abstractNumId w:val="21"/>
  </w:num>
  <w:num w:numId="26">
    <w:abstractNumId w:val="29"/>
  </w:num>
  <w:num w:numId="27">
    <w:abstractNumId w:val="33"/>
  </w:num>
  <w:num w:numId="28">
    <w:abstractNumId w:val="22"/>
  </w:num>
  <w:num w:numId="29">
    <w:abstractNumId w:val="24"/>
  </w:num>
  <w:num w:numId="30">
    <w:abstractNumId w:val="15"/>
  </w:num>
  <w:num w:numId="31">
    <w:abstractNumId w:val="1"/>
  </w:num>
  <w:num w:numId="32">
    <w:abstractNumId w:val="9"/>
  </w:num>
  <w:num w:numId="33">
    <w:abstractNumId w:val="25"/>
  </w:num>
  <w:num w:numId="34">
    <w:abstractNumId w:val="20"/>
  </w:num>
  <w:num w:numId="35">
    <w:abstractNumId w:val="6"/>
  </w:num>
  <w:num w:numId="36">
    <w:abstractNumId w:val="18"/>
  </w:num>
  <w:num w:numId="37">
    <w:abstractNumId w:val="17"/>
  </w:num>
  <w:num w:numId="38">
    <w:abstractNumId w:val="3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528"/>
    <w:rsid w:val="00A00E93"/>
    <w:rsid w:val="00C01528"/>
    <w:rsid w:val="00D74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14553"/>
  <w15:docId w15:val="{BC11D723-BABE-4A42-880D-22A51F773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kern w:val="1"/>
      <w:position w:val="-1"/>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0"/>
    <w:tblPr>
      <w:tblStyleRowBandSize w:val="1"/>
      <w:tblStyleColBandSize w:val="1"/>
      <w:tblCellMar>
        <w:left w:w="40" w:type="dxa"/>
        <w:right w:w="40" w:type="dxa"/>
      </w:tblCellMar>
    </w:tblPr>
  </w:style>
  <w:style w:type="table" w:customStyle="1" w:styleId="a0">
    <w:basedOn w:val="TableNormal0"/>
    <w:tblPr>
      <w:tblStyleRowBandSize w:val="1"/>
      <w:tblStyleColBandSize w:val="1"/>
      <w:tblCellMar>
        <w:left w:w="40" w:type="dxa"/>
        <w:right w:w="40" w:type="dxa"/>
      </w:tblCellMar>
    </w:tblPr>
  </w:style>
  <w:style w:type="table" w:customStyle="1" w:styleId="a1">
    <w:basedOn w:val="TableNormal0"/>
    <w:tblPr>
      <w:tblStyleRowBandSize w:val="1"/>
      <w:tblStyleColBandSize w:val="1"/>
      <w:tblCellMar>
        <w:left w:w="40" w:type="dxa"/>
        <w:right w:w="40" w:type="dxa"/>
      </w:tblCellMar>
    </w:tblPr>
  </w:style>
  <w:style w:type="table" w:customStyle="1" w:styleId="a2">
    <w:basedOn w:val="TableNormal0"/>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9rpxF2LkGKNJArAJ9yxE5+Wzxw==">CgMxLjAyDmguOXk5Z2xsMXRzZjlwMghoLmdqZGd4czIJaC4zMGowemxsMgloLjFmb2I5dGU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DmguNWFsaW5vaHh3dHlyMg5oLjR4MW1qb3Foc21kNDINaC5xeDAwcnRoZThpazIOaC51YWRrNG1kYXVldDcyDmgub3A5OHIyYmFwZHc1Mg5oLnAwdHM5YjIzcW9sbDIJaC4zMmhpb3F6MgloLjFobXN5eXMyCWguNDFtZ2htbDIJaC4yZ3JxcnVlMghoLnZ4MTIyNzIOaC5oYms2d2VpM2J3emkyCWguM2Z3b2txMDIJaC40ZjFtZGxtMgloLjJ1NndudGYyCWguMTljNnkxODIJaC4zdGJ1Z3AxMgloLjI4aDRxd3U4AHIhMXhNYVI2WEZ0WGhWMWd1Tk5VbXRJdVF5NGZacHhwN0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8703</Words>
  <Characters>52222</Characters>
  <Application>Microsoft Office Word</Application>
  <DocSecurity>0</DocSecurity>
  <Lines>435</Lines>
  <Paragraphs>121</Paragraphs>
  <ScaleCrop>false</ScaleCrop>
  <Company/>
  <LinksUpToDate>false</LinksUpToDate>
  <CharactersWithSpaces>60804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Wrona Magdalena - ADICT</cp:lastModifiedBy>
  <cp:revision>2</cp:revision>
  <dcterms:created xsi:type="dcterms:W3CDTF">2017-11-23T10:19:00Z</dcterms:created>
  <dcterms:modified xsi:type="dcterms:W3CDTF">2025-02-12T08:00:00Z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