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5295"/>
        </w:tabs>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TOM  II</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Roboty pomiarowe i prace geodezyjne</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jc w:val="both"/>
        <w:rPr>
          <w:rFonts w:ascii="Calibri" w:cs="Calibri" w:eastAsia="Calibri" w:hAnsi="Calibri"/>
          <w:sz w:val="24"/>
          <w:szCs w:val="24"/>
          <w:vertAlign w:val="superscript"/>
        </w:rPr>
      </w:pPr>
      <w:bookmarkStart w:colFirst="0" w:colLast="0" w:name="_heading=h.9y9gll1tsf9p" w:id="0"/>
      <w:bookmarkEnd w:id="0"/>
      <w:r w:rsidDel="00000000" w:rsidR="00000000" w:rsidRPr="00000000">
        <w:rPr>
          <w:rFonts w:ascii="Calibri" w:cs="Calibri" w:eastAsia="Calibri" w:hAnsi="Calibri"/>
          <w:sz w:val="24"/>
          <w:szCs w:val="24"/>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4"/>
          <w:szCs w:val="24"/>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sz w:val="24"/>
          <w:szCs w:val="24"/>
          <w:vertAlign w:val="superscript"/>
          <w:rtl w:val="0"/>
        </w:rPr>
        <w:t xml:space="preserve">                                       </w:t>
      </w:r>
    </w:p>
    <w:p w:rsidR="00000000" w:rsidDel="00000000" w:rsidP="00000000" w:rsidRDefault="00000000" w:rsidRPr="00000000" w14:paraId="0000000A">
      <w:pPr>
        <w:spacing w:line="276" w:lineRule="auto"/>
        <w:ind w:left="0" w:hanging="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B">
      <w:pPr>
        <w:spacing w:line="276" w:lineRule="auto"/>
        <w:ind w:left="0" w:hanging="2"/>
        <w:jc w:val="both"/>
        <w:rPr>
          <w:rFonts w:ascii="Calibri" w:cs="Calibri" w:eastAsia="Calibri" w:hAnsi="Calibri"/>
          <w:b w:val="1"/>
          <w:sz w:val="24"/>
          <w:szCs w:val="24"/>
          <w:highlight w:val="lightGray"/>
        </w:rPr>
      </w:pPr>
      <w:r w:rsidDel="00000000" w:rsidR="00000000" w:rsidRPr="00000000">
        <w:rPr>
          <w:rtl w:val="0"/>
        </w:rPr>
      </w:r>
    </w:p>
    <w:p w:rsidR="00000000" w:rsidDel="00000000" w:rsidP="00000000" w:rsidRDefault="00000000" w:rsidRPr="00000000" w14:paraId="0000000C">
      <w:pPr>
        <w:spacing w:line="276" w:lineRule="auto"/>
        <w:ind w:left="0" w:hanging="2"/>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spacing w:line="276" w:lineRule="auto"/>
        <w:ind w:left="1" w:hanging="3"/>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 ramach projektu: </w:t>
      </w:r>
    </w:p>
    <w:p w:rsidR="00000000" w:rsidDel="00000000" w:rsidP="00000000" w:rsidRDefault="00000000" w:rsidRPr="00000000" w14:paraId="0000000E">
      <w:pPr>
        <w:spacing w:line="276"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Modernizacja systemu ciepłowniczego na terenie m. st. Warszawy w celu poprawy efektywności energetycznej na lata 2025-2029 - Etap I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bookmarkStart w:colFirst="0" w:colLast="0" w:name="_heading=h.gjdgxs" w:id="1"/>
      <w:bookmarkEnd w:id="1"/>
      <w:r w:rsidDel="00000000" w:rsidR="00000000" w:rsidRPr="00000000">
        <w:br w:type="page"/>
      </w:r>
      <w:r w:rsidDel="00000000" w:rsidR="00000000" w:rsidRPr="00000000">
        <w:rPr>
          <w:rFonts w:ascii="Calibri" w:cs="Calibri" w:eastAsia="Calibri" w:hAnsi="Calibri"/>
          <w:b w:val="1"/>
          <w:color w:val="000000"/>
          <w:sz w:val="22"/>
          <w:szCs w:val="22"/>
          <w:rtl w:val="0"/>
        </w:rPr>
        <w:t xml:space="preserve">Spis treści: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line="276" w:lineRule="auto"/>
        <w:ind w:left="0" w:right="6" w:hanging="2"/>
        <w:jc w:val="both"/>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color w:val="000000"/>
              <w:sz w:val="22"/>
              <w:szCs w:val="22"/>
              <w:rtl w:val="0"/>
            </w:rPr>
            <w:t xml:space="preserve">1.</w:t>
            <w:tab/>
            <w:t xml:space="preserve">WSTĘP</w:t>
            <w:tab/>
          </w:r>
          <w:r w:rsidDel="00000000" w:rsidR="00000000" w:rsidRPr="00000000">
            <w:fldChar w:fldCharType="begin"/>
            <w:instrText xml:space="preserve"> HYPERLINK \l "_heading=h.30j0zll" </w:instrText>
            <w:fldChar w:fldCharType="separate"/>
          </w:r>
          <w:r w:rsidDel="00000000" w:rsidR="00000000" w:rsidRPr="00000000">
            <w:rPr>
              <w:rFonts w:ascii="Calibri" w:cs="Calibri" w:eastAsia="Calibri" w:hAnsi="Calibri"/>
              <w:color w:val="000000"/>
              <w:sz w:val="22"/>
              <w:szCs w:val="22"/>
              <w:rtl w:val="0"/>
            </w:rPr>
            <w:t xml:space="preserve">3</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2.</w:t>
            <w:tab/>
            <w:t xml:space="preserve">OKREŚLENIA PODSTAWOWE</w:t>
            <w:tab/>
          </w:r>
          <w:r w:rsidDel="00000000" w:rsidR="00000000" w:rsidRPr="00000000">
            <w:fldChar w:fldCharType="begin"/>
            <w:instrText xml:space="preserve"> HYPERLINK \l "_heading=h.tyjcwt"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3.</w:t>
            <w:tab/>
            <w:t xml:space="preserve">INFORMACJE O TERENIE BUDOWY</w:t>
            <w:tab/>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color w:val="000000"/>
              <w:sz w:val="22"/>
              <w:szCs w:val="22"/>
              <w:rtl w:val="0"/>
            </w:rPr>
            <w:t xml:space="preserve"> ROBÓT</w:t>
            <w:tab/>
          </w:r>
          <w:r w:rsidDel="00000000" w:rsidR="00000000" w:rsidRPr="00000000">
            <w:fldChar w:fldCharType="begin"/>
            <w:instrText xml:space="preserve"> HYPERLINK \l "_heading=h.1t3h5sf"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5.</w:t>
            <w:tab/>
            <w:t xml:space="preserve">MATERIAŁY</w:t>
            <w:tab/>
          </w:r>
          <w:r w:rsidDel="00000000" w:rsidR="00000000" w:rsidRPr="00000000">
            <w:fldChar w:fldCharType="begin"/>
            <w:instrText xml:space="preserve"> HYPERLINK \l "_heading=h.4d34og8"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6.</w:t>
            <w:tab/>
            <w:t xml:space="preserve">SPRZĘT</w:t>
            <w:tab/>
          </w:r>
          <w:r w:rsidDel="00000000" w:rsidR="00000000" w:rsidRPr="00000000">
            <w:fldChar w:fldCharType="begin"/>
            <w:instrText xml:space="preserve"> HYPERLINK \l "_heading=h.2s8eyo1"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7.</w:t>
            <w:tab/>
            <w:t xml:space="preserve">TRANSPORT</w:t>
            <w:tab/>
          </w:r>
          <w:r w:rsidDel="00000000" w:rsidR="00000000" w:rsidRPr="00000000">
            <w:fldChar w:fldCharType="begin"/>
            <w:instrText xml:space="preserve"> HYPERLINK \l "_heading=h.17dp8vu" </w:instrText>
            <w:fldChar w:fldCharType="separate"/>
          </w:r>
          <w:r w:rsidDel="00000000" w:rsidR="00000000" w:rsidRPr="00000000">
            <w:rPr>
              <w:rFonts w:ascii="Calibri" w:cs="Calibri" w:eastAsia="Calibri" w:hAnsi="Calibri"/>
              <w:color w:val="000000"/>
              <w:sz w:val="22"/>
              <w:szCs w:val="22"/>
              <w:rtl w:val="0"/>
            </w:rPr>
            <w:t xml:space="preserve">5</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8.</w:t>
            <w:tab/>
            <w:t xml:space="preserve">WYKONANIE ROBÓT</w:t>
            <w:tab/>
          </w:r>
          <w:r w:rsidDel="00000000" w:rsidR="00000000" w:rsidRPr="00000000">
            <w:fldChar w:fldCharType="begin"/>
            <w:instrText xml:space="preserve"> HYPERLINK \l "_heading=h.3rdcrjn" </w:instrText>
            <w:fldChar w:fldCharType="separate"/>
          </w:r>
          <w:r w:rsidDel="00000000" w:rsidR="00000000" w:rsidRPr="00000000">
            <w:rPr>
              <w:rFonts w:ascii="Calibri" w:cs="Calibri" w:eastAsia="Calibri" w:hAnsi="Calibri"/>
              <w:color w:val="000000"/>
              <w:sz w:val="22"/>
              <w:szCs w:val="22"/>
              <w:rtl w:val="0"/>
            </w:rPr>
            <w:t xml:space="preserve">5</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9.</w:t>
            <w:tab/>
            <w:t xml:space="preserve">KONTROLA JAKOŚCI ROBÓT</w:t>
            <w:tab/>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10.</w:t>
            <w:tab/>
            <w:t xml:space="preserve">ODBIÓR  ROBÓT</w:t>
            <w:tab/>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11.</w:t>
            <w:tab/>
            <w:t xml:space="preserve">PODSTAWA  PŁATNOŚCI</w:t>
            <w:tab/>
          </w:r>
          <w:r w:rsidDel="00000000" w:rsidR="00000000" w:rsidRPr="00000000">
            <w:fldChar w:fldCharType="begin"/>
            <w:instrText xml:space="preserve"> HYPERLINK \l "_heading=h.4i7ojhp"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color w:val="000000"/>
              <w:sz w:val="22"/>
              <w:szCs w:val="22"/>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426"/>
          <w:tab w:val="right" w:leader="none" w:pos="660"/>
          <w:tab w:val="right" w:leader="none" w:pos="9654"/>
        </w:tabs>
        <w:spacing w:after="100" w:line="276" w:lineRule="auto"/>
        <w:ind w:left="0" w:right="6"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right" w:leader="none" w:pos="9664"/>
        </w:tabs>
        <w:spacing w:after="100"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right" w:leader="none" w:pos="9664"/>
        </w:tabs>
        <w:spacing w:after="100"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tabs>
          <w:tab w:val="left" w:leader="none" w:pos="413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B">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30j0zll" w:id="2"/>
      <w:bookmarkEnd w:id="2"/>
      <w:r w:rsidDel="00000000" w:rsidR="00000000" w:rsidRPr="00000000">
        <w:br w:type="page"/>
      </w:r>
      <w:r w:rsidDel="00000000" w:rsidR="00000000" w:rsidRPr="00000000">
        <w:rPr>
          <w:rFonts w:ascii="Calibri" w:cs="Calibri" w:eastAsia="Calibri" w:hAnsi="Calibri"/>
          <w:b w:val="1"/>
          <w:color w:val="000000"/>
          <w:sz w:val="24"/>
          <w:szCs w:val="24"/>
          <w:rtl w:val="0"/>
        </w:rPr>
        <w:t xml:space="preserve">WSTĘP</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fob9te" w:id="3"/>
      <w:bookmarkEnd w:id="3"/>
      <w:r w:rsidDel="00000000" w:rsidR="00000000" w:rsidRPr="00000000">
        <w:rPr>
          <w:rtl w:val="0"/>
        </w:rPr>
      </w:r>
    </w:p>
    <w:p w:rsidR="00000000" w:rsidDel="00000000" w:rsidP="00000000" w:rsidRDefault="00000000" w:rsidRPr="00000000" w14:paraId="0000004D">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Przedmiot Specyfikacji Technicznej</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Przedmiotem niniejszej Specyfikacji Technicznych są wymagania szczegółowe dotyczące wykonania i odbioru robót pomiarowych i prac geodezyjnych </w:t>
      </w:r>
      <w:r w:rsidDel="00000000" w:rsidR="00000000" w:rsidRPr="00000000">
        <w:rPr>
          <w:rFonts w:ascii="Calibri" w:cs="Calibri" w:eastAsia="Calibri" w:hAnsi="Calibri"/>
          <w:sz w:val="22"/>
          <w:szCs w:val="22"/>
          <w:rtl w:val="0"/>
        </w:rPr>
        <w:t xml:space="preserve">na potrzeby:</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0">
      <w:pPr>
        <w:widowControl w:val="1"/>
        <w:spacing w:line="276" w:lineRule="auto"/>
        <w:ind w:hanging="2"/>
        <w:jc w:val="both"/>
        <w:rPr>
          <w:rFonts w:ascii="Calibri" w:cs="Calibri" w:eastAsia="Calibri" w:hAnsi="Calibri"/>
          <w:color w:val="000000"/>
          <w:sz w:val="18"/>
          <w:szCs w:val="18"/>
        </w:rPr>
      </w:pPr>
      <w:bookmarkStart w:colFirst="0" w:colLast="0" w:name="_heading=h.nl4pnsrrssje" w:id="4"/>
      <w:bookmarkEnd w:id="4"/>
      <w:r w:rsidDel="00000000" w:rsidR="00000000" w:rsidRPr="00000000">
        <w:rPr>
          <w:rFonts w:ascii="Calibri" w:cs="Calibri" w:eastAsia="Calibri" w:hAnsi="Calibri"/>
          <w:sz w:val="22"/>
          <w:szCs w:val="22"/>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2"/>
          <w:szCs w:val="22"/>
          <w:rtl w:val="0"/>
        </w:rPr>
        <w:t xml:space="preserve"> “Likwidacji węzła grupowego Schroegera i budowa węzłów indywidualnych przy ul. Schroegera 89 i 91 oraz przyłączy sieci ciepłowniczych”.</w:t>
      </w:r>
      <w:r w:rsidDel="00000000" w:rsidR="00000000" w:rsidRPr="00000000">
        <w:rPr>
          <w:rFonts w:ascii="Calibri" w:cs="Calibri" w:eastAsia="Calibri" w:hAnsi="Calibri"/>
          <w:sz w:val="22"/>
          <w:szCs w:val="22"/>
          <w:vertAlign w:val="superscript"/>
          <w:rtl w:val="0"/>
        </w:rPr>
        <w:t xml:space="preserve">     </w:t>
      </w:r>
      <w:r w:rsidDel="00000000" w:rsidR="00000000" w:rsidRPr="00000000">
        <w:rPr>
          <w:rtl w:val="0"/>
        </w:rPr>
      </w:r>
    </w:p>
    <w:p w:rsidR="00000000" w:rsidDel="00000000" w:rsidP="00000000" w:rsidRDefault="00000000" w:rsidRPr="00000000" w14:paraId="00000051">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Zakres stosowania Specyfikacji Technicznej</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spacing w:line="276" w:lineRule="auto"/>
        <w:ind w:left="0" w:right="422"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4">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bookmarkStart w:colFirst="0" w:colLast="0" w:name="_heading=h.2et92p0" w:id="5"/>
      <w:bookmarkEnd w:id="5"/>
      <w:r w:rsidDel="00000000" w:rsidR="00000000" w:rsidRPr="00000000">
        <w:rPr>
          <w:rFonts w:ascii="Calibri" w:cs="Calibri" w:eastAsia="Calibri" w:hAnsi="Calibri"/>
          <w:b w:val="1"/>
          <w:color w:val="000000"/>
          <w:sz w:val="22"/>
          <w:szCs w:val="22"/>
          <w:rtl w:val="0"/>
        </w:rPr>
        <w:t xml:space="preserve"> Zakres robót objętych Specyfikacją Techniczną</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prac realizowanych w ramach robót pomiarowych i prac geodezyjnych obejmuje:</w:t>
      </w:r>
    </w:p>
    <w:p w:rsidR="00000000" w:rsidDel="00000000" w:rsidP="00000000" w:rsidRDefault="00000000" w:rsidRPr="00000000" w14:paraId="00000058">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color w:val="000000"/>
          <w:sz w:val="22"/>
          <w:szCs w:val="22"/>
        </w:rPr>
      </w:pPr>
      <w:bookmarkStart w:colFirst="0" w:colLast="0" w:name="_heading=h.dwi4ypvcfd45" w:id="6"/>
      <w:bookmarkEnd w:id="6"/>
      <w:r w:rsidDel="00000000" w:rsidR="00000000" w:rsidRPr="00000000">
        <w:rPr>
          <w:rFonts w:ascii="Calibri" w:cs="Calibri" w:eastAsia="Calibri" w:hAnsi="Calibri"/>
          <w:color w:val="000000"/>
          <w:sz w:val="22"/>
          <w:szCs w:val="22"/>
          <w:u w:val="single"/>
          <w:rtl w:val="0"/>
        </w:rPr>
        <w:t xml:space="preserve">Roboty przygotowawcze:</w:t>
      </w:r>
      <w:r w:rsidDel="00000000" w:rsidR="00000000" w:rsidRPr="00000000">
        <w:rPr>
          <w:rtl w:val="0"/>
        </w:rPr>
      </w:r>
    </w:p>
    <w:p w:rsidR="00000000" w:rsidDel="00000000" w:rsidP="00000000" w:rsidRDefault="00000000" w:rsidRPr="00000000" w14:paraId="00000059">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5A">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Przeprowadzenie obliczeń i pomiarów geodezyjnych niezbędnych do szczegółowego wytyczenia robót.</w:t>
      </w:r>
    </w:p>
    <w:p w:rsidR="00000000" w:rsidDel="00000000" w:rsidP="00000000" w:rsidRDefault="00000000" w:rsidRPr="00000000" w14:paraId="0000005B">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Dostarczenie na teren budowy niezbędnych materiałów, urządzeń i sprzętu budowlanego.</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tabs>
          <w:tab w:val="left" w:leader="none" w:pos="768"/>
          <w:tab w:val="left" w:leader="none" w:pos="113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D">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sz w:val="22"/>
          <w:szCs w:val="22"/>
        </w:rPr>
      </w:pPr>
      <w:bookmarkStart w:colFirst="0" w:colLast="0" w:name="_heading=h.u34t5reqlsu6" w:id="7"/>
      <w:bookmarkEnd w:id="7"/>
      <w:r w:rsidDel="00000000" w:rsidR="00000000" w:rsidRPr="00000000">
        <w:rPr>
          <w:rFonts w:ascii="Calibri" w:cs="Calibri" w:eastAsia="Calibri" w:hAnsi="Calibri"/>
          <w:color w:val="000000"/>
          <w:sz w:val="22"/>
          <w:szCs w:val="22"/>
          <w:u w:val="single"/>
          <w:rtl w:val="0"/>
        </w:rPr>
        <w:t xml:space="preserve">Roboty zasadnicze:</w:t>
      </w:r>
      <w:r w:rsidDel="00000000" w:rsidR="00000000" w:rsidRPr="00000000">
        <w:rPr>
          <w:rtl w:val="0"/>
        </w:rPr>
      </w:r>
    </w:p>
    <w:p w:rsidR="00000000" w:rsidDel="00000000" w:rsidP="00000000" w:rsidRDefault="00000000" w:rsidRPr="00000000" w14:paraId="0000005E">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pomiarowe związane z budową obiektów technologicznych i sieci instalacyjnych:</w:t>
      </w:r>
    </w:p>
    <w:p w:rsidR="00000000" w:rsidDel="00000000" w:rsidP="00000000" w:rsidRDefault="00000000" w:rsidRPr="00000000" w14:paraId="0000005F">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wytyczenie głównej osi lub punktów charakterystycznych (sytuacyjne i wysokościowe) obiektów technologicznych,</w:t>
      </w:r>
    </w:p>
    <w:p w:rsidR="00000000" w:rsidDel="00000000" w:rsidP="00000000" w:rsidRDefault="00000000" w:rsidRPr="00000000" w14:paraId="00000060">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wytyczenie głównej osi lub punktów charakterystycznych (sytuacyjne i wysokościowe) sieci.</w:t>
      </w:r>
    </w:p>
    <w:p w:rsidR="00000000" w:rsidDel="00000000" w:rsidP="00000000" w:rsidRDefault="00000000" w:rsidRPr="00000000" w14:paraId="00000061">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dodatkowych punktów wysokościowych (reperów roboczych),</w:t>
      </w:r>
    </w:p>
    <w:p w:rsidR="00000000" w:rsidDel="00000000" w:rsidP="00000000" w:rsidRDefault="00000000" w:rsidRPr="00000000" w14:paraId="00000062">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3">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związane z wytyczeniem punktów wysokościowych dróg i chodników, a w szczególności:</w:t>
      </w:r>
    </w:p>
    <w:p w:rsidR="00000000" w:rsidDel="00000000" w:rsidP="00000000" w:rsidRDefault="00000000" w:rsidRPr="00000000" w14:paraId="00000064">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(sprawdzenie) sytuacyjne i wysokościowe punktów głównych osi trasy i punktów wysokościowych,</w:t>
      </w:r>
    </w:p>
    <w:p w:rsidR="00000000" w:rsidDel="00000000" w:rsidP="00000000" w:rsidRDefault="00000000" w:rsidRPr="00000000" w14:paraId="00000065">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uzupełnienie osi trasy dodatkowymi punktami (wyznaczenie osi),</w:t>
      </w:r>
    </w:p>
    <w:p w:rsidR="00000000" w:rsidDel="00000000" w:rsidP="00000000" w:rsidRDefault="00000000" w:rsidRPr="00000000" w14:paraId="00000066">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dodatkowych punktów wysokościowych (reperów roboczych),</w:t>
      </w:r>
    </w:p>
    <w:p w:rsidR="00000000" w:rsidDel="00000000" w:rsidP="00000000" w:rsidRDefault="00000000" w:rsidRPr="00000000" w14:paraId="00000067">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przekrojów poprzecznych,</w:t>
      </w:r>
    </w:p>
    <w:p w:rsidR="00000000" w:rsidDel="00000000" w:rsidP="00000000" w:rsidRDefault="00000000" w:rsidRPr="00000000" w14:paraId="00000068">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9">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pomiarowe niezbędne do wykonania dokumentacji i inwentaryzacji powykonawczej.</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06B">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sz w:val="22"/>
          <w:szCs w:val="22"/>
        </w:rPr>
      </w:pPr>
      <w:bookmarkStart w:colFirst="0" w:colLast="0" w:name="_heading=h.w0a54yh090bv" w:id="8"/>
      <w:bookmarkEnd w:id="8"/>
      <w:r w:rsidDel="00000000" w:rsidR="00000000" w:rsidRPr="00000000">
        <w:rPr>
          <w:rFonts w:ascii="Calibri" w:cs="Calibri" w:eastAsia="Calibri" w:hAnsi="Calibri"/>
          <w:color w:val="000000"/>
          <w:sz w:val="22"/>
          <w:szCs w:val="22"/>
          <w:u w:val="singl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tabs>
          <w:tab w:val="left" w:leader="none" w:pos="806"/>
          <w:tab w:val="left" w:leader="none" w:pos="1161"/>
        </w:tabs>
        <w:spacing w:line="276" w:lineRule="auto"/>
        <w:ind w:left="0" w:hanging="2"/>
        <w:jc w:val="both"/>
        <w:rPr>
          <w:rFonts w:ascii="Calibri" w:cs="Calibri" w:eastAsia="Calibri" w:hAnsi="Calibri"/>
          <w:color w:val="000000"/>
          <w:sz w:val="22"/>
          <w:szCs w:val="22"/>
        </w:rPr>
      </w:pPr>
      <w:bookmarkStart w:colFirst="0" w:colLast="0" w:name="_heading=h.tyjcwt" w:id="9"/>
      <w:bookmarkEnd w:id="9"/>
      <w:r w:rsidDel="00000000" w:rsidR="00000000" w:rsidRPr="00000000">
        <w:rPr>
          <w:rtl w:val="0"/>
        </w:rPr>
      </w:r>
    </w:p>
    <w:p w:rsidR="00000000" w:rsidDel="00000000" w:rsidP="00000000" w:rsidRDefault="00000000" w:rsidRPr="00000000" w14:paraId="0000006F">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OKREŚLENIA PODSTAWOWE</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są zgodne z obowiązującymi, odpowiednimi polskimi normami,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color w:val="000000"/>
          <w:sz w:val="22"/>
          <w:szCs w:val="22"/>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color w:val="000000"/>
          <w:sz w:val="22"/>
          <w:szCs w:val="22"/>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color w:val="000000"/>
          <w:sz w:val="22"/>
          <w:szCs w:val="22"/>
          <w:rtl w:val="0"/>
        </w:rPr>
        <w:t xml:space="preserve">) i postanowieniami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mowy. </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Ponadto:</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Punkty główne trasy </w:t>
      </w:r>
      <w:r w:rsidDel="00000000" w:rsidR="00000000" w:rsidRPr="00000000">
        <w:rPr>
          <w:rFonts w:ascii="Calibri" w:cs="Calibri" w:eastAsia="Calibri" w:hAnsi="Calibri"/>
          <w:color w:val="000000"/>
          <w:sz w:val="22"/>
          <w:szCs w:val="22"/>
          <w:rtl w:val="0"/>
        </w:rPr>
        <w:t xml:space="preserve">- punkty załamania osi trasy, punkty kierunkowe oraz początkowy i  końcowy punkt trasy.</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Reper </w:t>
      </w:r>
      <w:r w:rsidDel="00000000" w:rsidR="00000000" w:rsidRPr="00000000">
        <w:rPr>
          <w:rFonts w:ascii="Calibri" w:cs="Calibri" w:eastAsia="Calibri" w:hAnsi="Calibri"/>
          <w:color w:val="000000"/>
          <w:sz w:val="22"/>
          <w:szCs w:val="22"/>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bookmarkStart w:colFirst="0" w:colLast="0" w:name="_heading=h.3dy6vkm" w:id="10"/>
      <w:bookmarkEnd w:id="10"/>
      <w:r w:rsidDel="00000000" w:rsidR="00000000" w:rsidRPr="00000000">
        <w:rPr>
          <w:rtl w:val="0"/>
        </w:rPr>
      </w:r>
    </w:p>
    <w:p w:rsidR="00000000" w:rsidDel="00000000" w:rsidP="00000000" w:rsidRDefault="00000000" w:rsidRPr="00000000" w14:paraId="00000076">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INFORMACJE O TERENIE BUDOWY</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Informacji o terenie budowy zostały podane w ST tom I pkt. 3.</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bookmarkStart w:colFirst="0" w:colLast="0" w:name="_heading=h.1t3h5sf" w:id="11"/>
      <w:bookmarkEnd w:id="11"/>
      <w:r w:rsidDel="00000000" w:rsidR="00000000" w:rsidRPr="00000000">
        <w:rPr>
          <w:rtl w:val="0"/>
        </w:rPr>
      </w:r>
    </w:p>
    <w:p w:rsidR="00000000" w:rsidDel="00000000" w:rsidP="00000000" w:rsidRDefault="00000000" w:rsidRPr="00000000" w14:paraId="0000007A">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OGÓLNE WYMAGANIA </w:t>
      </w:r>
      <w:r w:rsidDel="00000000" w:rsidR="00000000" w:rsidRPr="00000000">
        <w:rPr>
          <w:rFonts w:ascii="Calibri" w:cs="Calibri" w:eastAsia="Calibri" w:hAnsi="Calibri"/>
          <w:b w:val="1"/>
          <w:sz w:val="24"/>
          <w:szCs w:val="24"/>
          <w:rtl w:val="0"/>
        </w:rPr>
        <w:t xml:space="preserve">DOTYCZĄCE</w:t>
      </w:r>
      <w:r w:rsidDel="00000000" w:rsidR="00000000" w:rsidRPr="00000000">
        <w:rPr>
          <w:rFonts w:ascii="Calibri" w:cs="Calibri" w:eastAsia="Calibri" w:hAnsi="Calibri"/>
          <w:b w:val="1"/>
          <w:color w:val="000000"/>
          <w:sz w:val="24"/>
          <w:szCs w:val="24"/>
          <w:rtl w:val="0"/>
        </w:rPr>
        <w:t xml:space="preserve"> ROBÓT</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 xml:space="preserve">Ogólne wymagania dotyczące robót podano w ST tom I pkt. 4.</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ffffff" w:val="clear"/>
        <w:tabs>
          <w:tab w:val="left" w:leader="none" w:pos="399"/>
        </w:tabs>
        <w:spacing w:line="276" w:lineRule="auto"/>
        <w:ind w:left="0" w:hanging="2"/>
        <w:jc w:val="both"/>
        <w:rPr>
          <w:rFonts w:ascii="Calibri" w:cs="Calibri" w:eastAsia="Calibri" w:hAnsi="Calibri"/>
          <w:color w:val="000000"/>
          <w:sz w:val="22"/>
          <w:szCs w:val="22"/>
        </w:rPr>
      </w:pPr>
      <w:bookmarkStart w:colFirst="0" w:colLast="0" w:name="_heading=h.4d34og8" w:id="12"/>
      <w:bookmarkEnd w:id="12"/>
      <w:r w:rsidDel="00000000" w:rsidR="00000000" w:rsidRPr="00000000">
        <w:rPr>
          <w:rtl w:val="0"/>
        </w:rPr>
      </w:r>
    </w:p>
    <w:p w:rsidR="00000000" w:rsidDel="00000000" w:rsidP="00000000" w:rsidRDefault="00000000" w:rsidRPr="00000000" w14:paraId="0000007F">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MATERIAŁY</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materiałów podano w ST tom I pkt. 13.</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Materiałami stosowanymi przy pracach geodezyjnych objętych niniejszymi ST są:</w:t>
      </w:r>
    </w:p>
    <w:p w:rsidR="00000000" w:rsidDel="00000000" w:rsidP="00000000" w:rsidRDefault="00000000" w:rsidRPr="00000000" w14:paraId="00000082">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paliki drewniane  Ø 15-20 mm i długości 1.5 do 1.7 m,</w:t>
      </w:r>
    </w:p>
    <w:p w:rsidR="00000000" w:rsidDel="00000000" w:rsidP="00000000" w:rsidRDefault="00000000" w:rsidRPr="00000000" w14:paraId="00000083">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paliki drewniane  Ø  50-80 mm i długości około 0,30 m,</w:t>
      </w:r>
    </w:p>
    <w:p w:rsidR="00000000" w:rsidDel="00000000" w:rsidP="00000000" w:rsidRDefault="00000000" w:rsidRPr="00000000" w14:paraId="00000084">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pręty stalowe  Ø12 mm i długości 30 cm,</w:t>
      </w:r>
    </w:p>
    <w:p w:rsidR="00000000" w:rsidDel="00000000" w:rsidP="00000000" w:rsidRDefault="00000000" w:rsidRPr="00000000" w14:paraId="00000085">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color w:val="000000"/>
          <w:sz w:val="22"/>
          <w:szCs w:val="22"/>
          <w:rtl w:val="0"/>
        </w:rPr>
        <w:t xml:space="preserve">.  „Świadki" powinny mieć długość około 0,50 m i przekrój prostokątny,</w:t>
      </w:r>
    </w:p>
    <w:p w:rsidR="00000000" w:rsidDel="00000000" w:rsidP="00000000" w:rsidRDefault="00000000" w:rsidRPr="00000000" w14:paraId="00000086">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bolce  stalowe  Ø  5 mm i długości 0,04 - 0,05 m dla punktów utrwalanych w istniejącej nawierzchni,</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ffffff" w:val="clear"/>
        <w:tabs>
          <w:tab w:val="left" w:leader="none" w:pos="586"/>
        </w:tabs>
        <w:spacing w:line="276" w:lineRule="auto"/>
        <w:ind w:left="0" w:right="4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tab/>
        <w:t xml:space="preserve">farba chlorokauczukowa (do zaznaczania punktów).</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ffffff" w:val="clear"/>
        <w:tabs>
          <w:tab w:val="left" w:leader="none" w:pos="586"/>
        </w:tabs>
        <w:spacing w:line="276" w:lineRule="auto"/>
        <w:ind w:left="0" w:right="45" w:hanging="2"/>
        <w:jc w:val="both"/>
        <w:rPr>
          <w:rFonts w:ascii="Calibri" w:cs="Calibri" w:eastAsia="Calibri" w:hAnsi="Calibri"/>
          <w:color w:val="000000"/>
          <w:sz w:val="22"/>
          <w:szCs w:val="22"/>
        </w:rPr>
      </w:pPr>
      <w:bookmarkStart w:colFirst="0" w:colLast="0" w:name="_heading=h.2s8eyo1" w:id="13"/>
      <w:bookmarkEnd w:id="13"/>
      <w:r w:rsidDel="00000000" w:rsidR="00000000" w:rsidRPr="00000000">
        <w:rPr>
          <w:rtl w:val="0"/>
        </w:rPr>
      </w:r>
    </w:p>
    <w:p w:rsidR="00000000" w:rsidDel="00000000" w:rsidP="00000000" w:rsidRDefault="00000000" w:rsidRPr="00000000" w14:paraId="00000089">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SPRZĘT</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sprzętu podano  w ST tom I pkt. 14.</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D">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teodolity lub tachimetry,</w:t>
      </w:r>
    </w:p>
    <w:p w:rsidR="00000000" w:rsidDel="00000000" w:rsidP="00000000" w:rsidRDefault="00000000" w:rsidRPr="00000000" w14:paraId="0000008E">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niwelatory,</w:t>
      </w:r>
    </w:p>
    <w:p w:rsidR="00000000" w:rsidDel="00000000" w:rsidP="00000000" w:rsidRDefault="00000000" w:rsidRPr="00000000" w14:paraId="0000008F">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dalmierze,</w:t>
      </w:r>
    </w:p>
    <w:p w:rsidR="00000000" w:rsidDel="00000000" w:rsidP="00000000" w:rsidRDefault="00000000" w:rsidRPr="00000000" w14:paraId="00000090">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tyczki,</w:t>
      </w:r>
    </w:p>
    <w:p w:rsidR="00000000" w:rsidDel="00000000" w:rsidP="00000000" w:rsidRDefault="00000000" w:rsidRPr="00000000" w14:paraId="00000091">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łaty,</w:t>
      </w:r>
    </w:p>
    <w:p w:rsidR="00000000" w:rsidDel="00000000" w:rsidP="00000000" w:rsidRDefault="00000000" w:rsidRPr="00000000" w14:paraId="00000092">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taśmy  stalowe,  szpilki.</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stosowany do prac pomiarowych powinien gwarantować uzyskanie wymaganej dokładności pomiaru.</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17dp8vu" w:id="14"/>
      <w:bookmarkEnd w:id="14"/>
      <w:r w:rsidDel="00000000" w:rsidR="00000000" w:rsidRPr="00000000">
        <w:rPr>
          <w:rtl w:val="0"/>
        </w:rPr>
      </w:r>
    </w:p>
    <w:p w:rsidR="00000000" w:rsidDel="00000000" w:rsidP="00000000" w:rsidRDefault="00000000" w:rsidRPr="00000000" w14:paraId="00000095">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TRANSPORT</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transportu podano w ST tom I pkt 15.</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i materiały objęte niniejszymi ST można przewozić dowolnymi  środkami transportu.</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bookmarkStart w:colFirst="0" w:colLast="0" w:name="_heading=h.3rdcrjn" w:id="15"/>
      <w:bookmarkEnd w:id="15"/>
      <w:r w:rsidDel="00000000" w:rsidR="00000000" w:rsidRPr="00000000">
        <w:rPr>
          <w:rtl w:val="0"/>
        </w:rPr>
      </w:r>
    </w:p>
    <w:p w:rsidR="00000000" w:rsidDel="00000000" w:rsidP="00000000" w:rsidRDefault="00000000" w:rsidRPr="00000000" w14:paraId="0000009A">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26in1rg" w:id="16"/>
      <w:bookmarkEnd w:id="16"/>
      <w:r w:rsidDel="00000000" w:rsidR="00000000" w:rsidRPr="00000000">
        <w:rPr>
          <w:rFonts w:ascii="Calibri" w:cs="Calibri" w:eastAsia="Calibri" w:hAnsi="Calibri"/>
          <w:b w:val="1"/>
          <w:color w:val="000000"/>
          <w:sz w:val="24"/>
          <w:szCs w:val="24"/>
          <w:rtl w:val="0"/>
        </w:rPr>
        <w:t xml:space="preserve">WYKONANIE ROBÓT</w:t>
      </w:r>
    </w:p>
    <w:p w:rsidR="00000000" w:rsidDel="00000000" w:rsidP="00000000" w:rsidRDefault="00000000" w:rsidRPr="00000000" w14:paraId="0000009B">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ogólne</w:t>
      </w:r>
    </w:p>
    <w:p w:rsidR="00000000" w:rsidDel="00000000" w:rsidP="00000000" w:rsidRDefault="00000000" w:rsidRPr="00000000" w14:paraId="0000009C">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wykonania robót podano w ST tom I pkt. 16.</w:t>
      </w:r>
    </w:p>
    <w:p w:rsidR="00000000" w:rsidDel="00000000" w:rsidP="00000000" w:rsidRDefault="00000000" w:rsidRPr="00000000" w14:paraId="0000009D">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9E">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pomiarowe powinny być wykonane zgodnie  z obowiązującymi instrukcjami Głównego Urzędu Geodezji i Kartografii  (G.U.G. i K.) przez osoby posiadające odpowiednie  kwalifikacje i uprawnienia.</w:t>
      </w:r>
    </w:p>
    <w:p w:rsidR="00000000" w:rsidDel="00000000" w:rsidP="00000000" w:rsidRDefault="00000000" w:rsidRPr="00000000" w14:paraId="0000009F">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oparciu o materiały dostarczone przez Zamawiającego, Wykonawca powinien przeprowadzić obliczenia i pomiary geodezyjne niezbędne do szczegółowego  wytyczenia robót.</w:t>
      </w:r>
    </w:p>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natychmiast poinformować inspektora nadzoru Zamawiającego o wszelkich błędach wykrytych w wytyczeniu punktów głównych trasy i reperów roboczych.</w:t>
      </w:r>
    </w:p>
    <w:p w:rsidR="00000000" w:rsidDel="00000000" w:rsidP="00000000" w:rsidRDefault="00000000" w:rsidRPr="00000000" w14:paraId="000000A1">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rsidR="00000000" w:rsidDel="00000000" w:rsidP="00000000" w:rsidRDefault="00000000" w:rsidRPr="00000000" w14:paraId="000000A2">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A3">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A4">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lnxbz9" w:id="17"/>
      <w:bookmarkEnd w:id="17"/>
      <w:r w:rsidDel="00000000" w:rsidR="00000000" w:rsidRPr="00000000">
        <w:rPr>
          <w:rFonts w:ascii="Calibri" w:cs="Calibri" w:eastAsia="Calibri" w:hAnsi="Calibri"/>
          <w:color w:val="000000"/>
          <w:sz w:val="22"/>
          <w:szCs w:val="22"/>
          <w:rtl w:val="0"/>
        </w:rPr>
        <w:t xml:space="preserve">Wszystkie pozostałe prace pomiarowe konieczne dla prawidłowej realizacji robót należą do obowiązków Wykonawcy.</w:t>
      </w:r>
    </w:p>
    <w:p w:rsidR="00000000" w:rsidDel="00000000" w:rsidP="00000000" w:rsidRDefault="00000000" w:rsidRPr="00000000" w14:paraId="000000A5">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Wyznaczenie trasy i punktów wysokościowych dla obiektów technologicznych, sieci, dróg i chodników</w:t>
      </w:r>
    </w:p>
    <w:p w:rsidR="00000000" w:rsidDel="00000000" w:rsidP="00000000" w:rsidRDefault="00000000" w:rsidRPr="00000000" w14:paraId="000000A6">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A7">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Punkty wysokościowe (repery robocze) należy wykonać dla  każdego  punktu charakterystycznego inwestycji.</w:t>
      </w:r>
    </w:p>
    <w:p w:rsidR="00000000" w:rsidDel="00000000" w:rsidP="00000000" w:rsidRDefault="00000000" w:rsidRPr="00000000" w14:paraId="000000A8">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A9">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AA">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Repery robocze powinny być wyposażone w dodatkowe oznaczenia, zawierające wyraźne i jednoznaczne określenie nazwy reperu i jego rzędnej.</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ffffff" w:val="clear"/>
        <w:spacing w:line="276" w:lineRule="auto"/>
        <w:ind w:left="0" w:right="24" w:hanging="2"/>
        <w:jc w:val="both"/>
        <w:rPr>
          <w:rFonts w:ascii="Calibri" w:cs="Calibri" w:eastAsia="Calibri" w:hAnsi="Calibri"/>
          <w:color w:val="000000"/>
          <w:sz w:val="22"/>
          <w:szCs w:val="22"/>
        </w:rPr>
      </w:pPr>
      <w:bookmarkStart w:colFirst="0" w:colLast="0" w:name="_heading=h.35nkun2" w:id="18"/>
      <w:bookmarkEnd w:id="18"/>
      <w:r w:rsidDel="00000000" w:rsidR="00000000" w:rsidRPr="00000000">
        <w:rPr>
          <w:rtl w:val="0"/>
        </w:rPr>
      </w:r>
    </w:p>
    <w:p w:rsidR="00000000" w:rsidDel="00000000" w:rsidP="00000000" w:rsidRDefault="00000000" w:rsidRPr="00000000" w14:paraId="000000AC">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Punkty osnowy geodezyjnej</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bookmarkStart w:colFirst="0" w:colLast="0" w:name="_heading=h.1ksv4uv" w:id="19"/>
      <w:bookmarkEnd w:id="19"/>
      <w:r w:rsidDel="00000000" w:rsidR="00000000" w:rsidRPr="00000000">
        <w:rPr>
          <w:rtl w:val="0"/>
        </w:rPr>
      </w:r>
    </w:p>
    <w:p w:rsidR="00000000" w:rsidDel="00000000" w:rsidP="00000000" w:rsidRDefault="00000000" w:rsidRPr="00000000" w14:paraId="000000AF">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Wyznaczenie przekrojów poprzecznych</w:t>
      </w:r>
    </w:p>
    <w:p w:rsidR="00000000" w:rsidDel="00000000" w:rsidP="00000000" w:rsidRDefault="00000000" w:rsidRPr="00000000" w14:paraId="000000B0">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B1">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B2">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Profilowanie przekrojów poprzecznych musi umożliwiać wykonanie wykopów o kształcie zgodnym z dokumentacją projektową.</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bookmarkStart w:colFirst="0" w:colLast="0" w:name="_heading=h.44sinio" w:id="20"/>
      <w:bookmarkEnd w:id="20"/>
      <w:r w:rsidDel="00000000" w:rsidR="00000000" w:rsidRPr="00000000">
        <w:rPr>
          <w:rtl w:val="0"/>
        </w:rPr>
      </w:r>
    </w:p>
    <w:p w:rsidR="00000000" w:rsidDel="00000000" w:rsidP="00000000" w:rsidRDefault="00000000" w:rsidRPr="00000000" w14:paraId="000000B4">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Dokumentacja i inwentaryzacja powykonawcza</w:t>
      </w:r>
    </w:p>
    <w:p w:rsidR="00000000" w:rsidDel="00000000" w:rsidP="00000000" w:rsidRDefault="00000000" w:rsidRPr="00000000" w14:paraId="000000B5">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B6">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rsidR="00000000" w:rsidDel="00000000" w:rsidP="00000000" w:rsidRDefault="00000000" w:rsidRPr="00000000" w14:paraId="000000B7">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ramach inwentaryzacji przyłącza s.c. Wykonawca jest zobowiązany do dostarczenia w 2 (dwóch) w formie elektronicznej na płycie CD:</w:t>
      </w:r>
    </w:p>
    <w:p w:rsidR="00000000" w:rsidDel="00000000" w:rsidP="00000000" w:rsidRDefault="00000000" w:rsidRPr="00000000" w14:paraId="000000B8">
      <w:pPr>
        <w:numPr>
          <w:ilvl w:val="1"/>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w formacie DWG z oznaczeniem poszczególnych punktów charakterystycznych (załamania, studzienki, odgałęzienia itd.),</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BA">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Dokumentacja powykonawcza geodezyjna  musi zawierać Informację  podpisaną przez Geodetę zgodnie treścią art. 57 ust.1 pkt 5 ustawy z dnia 7 lipca 1994 r. Prawo Budowlane (tekst  jednolity  Dz. U. z 2024 r. poz. 725, 834, 1222 z późn. zm.)</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21"/>
      <w:bookmarkEnd w:id="21"/>
      <w:r w:rsidDel="00000000" w:rsidR="00000000" w:rsidRPr="00000000">
        <w:rPr>
          <w:rtl w:val="0"/>
        </w:rPr>
      </w:r>
    </w:p>
    <w:p w:rsidR="00000000" w:rsidDel="00000000" w:rsidP="00000000" w:rsidRDefault="00000000" w:rsidRPr="00000000" w14:paraId="000000BC">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z337ya" w:id="22"/>
      <w:bookmarkEnd w:id="22"/>
      <w:r w:rsidDel="00000000" w:rsidR="00000000" w:rsidRPr="00000000">
        <w:rPr>
          <w:rFonts w:ascii="Calibri" w:cs="Calibri" w:eastAsia="Calibri" w:hAnsi="Calibri"/>
          <w:b w:val="1"/>
          <w:color w:val="000000"/>
          <w:sz w:val="24"/>
          <w:szCs w:val="24"/>
          <w:rtl w:val="0"/>
        </w:rPr>
        <w:t xml:space="preserve">KONTROLA JAKOŚCI ROBÓT</w:t>
      </w:r>
    </w:p>
    <w:p w:rsidR="00000000" w:rsidDel="00000000" w:rsidP="00000000" w:rsidRDefault="00000000" w:rsidRPr="00000000" w14:paraId="000000BD">
      <w:pPr>
        <w:keepNext w:val="1"/>
        <w:numPr>
          <w:ilvl w:val="1"/>
          <w:numId w:val="4"/>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Ogólne zasady kontroli jakości robót</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bookmarkStart w:colFirst="0" w:colLast="0" w:name="_heading=h.3j2qqm3" w:id="23"/>
      <w:bookmarkEnd w:id="23"/>
      <w:r w:rsidDel="00000000" w:rsidR="00000000" w:rsidRPr="00000000">
        <w:rPr>
          <w:rtl w:val="0"/>
        </w:rPr>
      </w:r>
    </w:p>
    <w:p w:rsidR="00000000" w:rsidDel="00000000" w:rsidP="00000000" w:rsidRDefault="00000000" w:rsidRPr="00000000" w14:paraId="000000C1">
      <w:pPr>
        <w:keepNext w:val="1"/>
        <w:numPr>
          <w:ilvl w:val="1"/>
          <w:numId w:val="4"/>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Kontrola jakości prac pomiarowych</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Kontrolę jakości prac pomiarowych związanych z wyznaczaniem trasy i punktów wysokościowych należy prowadzić wg ogólnych zasad określonych w instrukcjach i wytycznych Głównego Urzędu Geodezji i Kartografii (GUGiK).</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sprawdzić położenie i wysokości głównych punktów geodezyjnych obiektów inwestycji.</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1y810tw" w:id="24"/>
      <w:bookmarkEnd w:id="24"/>
      <w:r w:rsidDel="00000000" w:rsidR="00000000" w:rsidRPr="00000000">
        <w:rPr>
          <w:rtl w:val="0"/>
        </w:rPr>
      </w:r>
    </w:p>
    <w:p w:rsidR="00000000" w:rsidDel="00000000" w:rsidP="00000000" w:rsidRDefault="00000000" w:rsidRPr="00000000" w14:paraId="000000C5">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ODBIÓR  ROBÓT</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robót nastąpi razem z odbiorem wykonania s.c. na zasadach opisanych w ST tom I pkt 19.</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jest potwierdzeniem wykonania robót zgodnie z postanowieniami umowy oraz obowiązującymi Normami Technicznymi (PN, PN-EN).</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C">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4i7ojhp" w:id="25"/>
      <w:bookmarkEnd w:id="25"/>
      <w:r w:rsidDel="00000000" w:rsidR="00000000" w:rsidRPr="00000000">
        <w:rPr>
          <w:rFonts w:ascii="Calibri" w:cs="Calibri" w:eastAsia="Calibri" w:hAnsi="Calibri"/>
          <w:b w:val="1"/>
          <w:color w:val="000000"/>
          <w:sz w:val="24"/>
          <w:szCs w:val="24"/>
          <w:rtl w:val="0"/>
        </w:rPr>
        <w:t xml:space="preserve"> PODSTAWA  PŁATNOŚCI</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ffffff" w:val="clear"/>
        <w:tabs>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ffffff" w:val="clear"/>
        <w:tabs>
          <w:tab w:val="left" w:leader="none" w:pos="869"/>
        </w:tabs>
        <w:spacing w:line="276" w:lineRule="auto"/>
        <w:ind w:left="0" w:hanging="2"/>
        <w:jc w:val="both"/>
        <w:rPr>
          <w:rFonts w:ascii="Calibri" w:cs="Calibri" w:eastAsia="Calibri" w:hAnsi="Calibri"/>
          <w:color w:val="000000"/>
          <w:sz w:val="22"/>
          <w:szCs w:val="22"/>
        </w:rPr>
      </w:pPr>
      <w:bookmarkStart w:colFirst="0" w:colLast="0" w:name="_heading=h.2xcytpi" w:id="26"/>
      <w:bookmarkEnd w:id="26"/>
      <w:r w:rsidDel="00000000" w:rsidR="00000000" w:rsidRPr="00000000">
        <w:rPr>
          <w:rtl w:val="0"/>
        </w:rPr>
      </w:r>
    </w:p>
    <w:p w:rsidR="00000000" w:rsidDel="00000000" w:rsidP="00000000" w:rsidRDefault="00000000" w:rsidRPr="00000000" w14:paraId="000000CF">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PRZEPISY ZWIĄZANE</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ffffff" w:val="clear"/>
        <w:tabs>
          <w:tab w:val="left" w:leader="none" w:pos="2952"/>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0-1.</w:t>
        <w:tab/>
        <w:t xml:space="preserve">Ogólne zasady wykonywania prac geodezyjnych.</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ffffff" w:val="clear"/>
        <w:tabs>
          <w:tab w:val="left" w:leader="none" w:pos="2957"/>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0-3.</w:t>
        <w:tab/>
        <w:t xml:space="preserve">Ogólne zasady kompletowania prac geodezyjnych.</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ffffff" w:val="clear"/>
        <w:tabs>
          <w:tab w:val="left" w:leader="none" w:pos="296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G-1.</w:t>
        <w:tab/>
        <w:t xml:space="preserve">Geodezyjna osnowa pozioma, GUGiK 1978</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ffffff" w:val="clear"/>
        <w:tabs>
          <w:tab w:val="left" w:leader="none" w:pos="296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G-2.</w:t>
        <w:tab/>
        <w:t xml:space="preserve">Wysokościowa osnowa geodezyjna, GUGIK.</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ffffff" w:val="clear"/>
        <w:tabs>
          <w:tab w:val="left" w:leader="none" w:pos="296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Kg.</w:t>
        <w:tab/>
        <w:t xml:space="preserve">Geodezyjna obsługa inwestycji, GUGIK.</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ffffff" w:val="clear"/>
        <w:tabs>
          <w:tab w:val="left" w:leader="none" w:pos="297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Kg.</w:t>
        <w:tab/>
        <w:t xml:space="preserve">Pomiary sytuacyjne i wysokościowe, GUGIK.</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ffffff" w:val="clear"/>
        <w:tabs>
          <w:tab w:val="left" w:leader="none" w:pos="2957"/>
          <w:tab w:val="left" w:leader="none" w:pos="9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Wytyczne techniczne G-3.1. </w:t>
        <w:tab/>
        <w:t xml:space="preserve">Osnowy realizacyjne, GUGiK 1983</w:t>
        <w:tab/>
        <w:tab/>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ffffff" w:val="clear"/>
        <w:tabs>
          <w:tab w:val="left" w:leader="none" w:pos="296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Wytyczne techniczne G-3.2.  </w:t>
        <w:tab/>
        <w:t xml:space="preserve">Pomiary realizacyjne, GUGiK 1983.</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oraz inne obowiązujące polskie normy lub odpowiednie normy krajów UE w zakresie przyjętym przez polskie prawodawstwo.</w:t>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ind w:left="0" w:hanging="2"/>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lvl w:ilvl="0">
      <w:start w:val="1"/>
      <w:numFmt w:val="decimal"/>
      <w:lvlText w:val="%1"/>
      <w:lvlJc w:val="left"/>
      <w:pPr>
        <w:ind w:left="405" w:hanging="405"/>
      </w:pPr>
      <w:rPr>
        <w:rFonts w:ascii="Arial" w:cs="Arial" w:eastAsia="Arial" w:hAnsi="Arial"/>
        <w:i w:val="0"/>
        <w:sz w:val="28"/>
        <w:szCs w:val="28"/>
        <w:vertAlign w:val="baseline"/>
      </w:rPr>
    </w:lvl>
    <w:lvl w:ilvl="1">
      <w:start w:val="1"/>
      <w:numFmt w:val="decimal"/>
      <w:lvlText w:val="%1.%2"/>
      <w:lvlJc w:val="left"/>
      <w:pPr>
        <w:ind w:left="720" w:hanging="720"/>
      </w:pPr>
      <w:rPr>
        <w:rFonts w:ascii="Calibri" w:cs="Calibri" w:eastAsia="Calibri" w:hAnsi="Calibri"/>
        <w:i w:val="0"/>
        <w:sz w:val="24"/>
        <w:szCs w:val="24"/>
        <w:vertAlign w:val="baseline"/>
      </w:rPr>
    </w:lvl>
    <w:lvl w:ilvl="2">
      <w:start w:val="1"/>
      <w:numFmt w:val="decimal"/>
      <w:lvlText w:val="%1.%2.%3"/>
      <w:lvlJc w:val="left"/>
      <w:pPr>
        <w:ind w:left="720" w:hanging="720"/>
      </w:pPr>
      <w:rPr>
        <w:rFonts w:ascii="Arial" w:cs="Arial" w:eastAsia="Arial" w:hAnsi="Arial"/>
        <w:i w:val="0"/>
        <w:sz w:val="28"/>
        <w:szCs w:val="28"/>
        <w:vertAlign w:val="baseline"/>
      </w:rPr>
    </w:lvl>
    <w:lvl w:ilvl="3">
      <w:start w:val="1"/>
      <w:numFmt w:val="decimal"/>
      <w:lvlText w:val="%1.%2.%3.%4"/>
      <w:lvlJc w:val="left"/>
      <w:pPr>
        <w:ind w:left="1080" w:hanging="1080"/>
      </w:pPr>
      <w:rPr>
        <w:rFonts w:ascii="Arial" w:cs="Arial" w:eastAsia="Arial" w:hAnsi="Arial"/>
        <w:i w:val="0"/>
        <w:sz w:val="28"/>
        <w:szCs w:val="28"/>
        <w:vertAlign w:val="baseline"/>
      </w:rPr>
    </w:lvl>
    <w:lvl w:ilvl="4">
      <w:start w:val="1"/>
      <w:numFmt w:val="decimal"/>
      <w:lvlText w:val="%1.%2.%3.%4.%5"/>
      <w:lvlJc w:val="left"/>
      <w:pPr>
        <w:ind w:left="1440" w:hanging="1440"/>
      </w:pPr>
      <w:rPr>
        <w:rFonts w:ascii="Arial" w:cs="Arial" w:eastAsia="Arial" w:hAnsi="Arial"/>
        <w:i w:val="0"/>
        <w:sz w:val="28"/>
        <w:szCs w:val="28"/>
        <w:vertAlign w:val="baseline"/>
      </w:rPr>
    </w:lvl>
    <w:lvl w:ilvl="5">
      <w:start w:val="1"/>
      <w:numFmt w:val="decimal"/>
      <w:lvlText w:val="%1.%2.%3.%4.%5.%6"/>
      <w:lvlJc w:val="left"/>
      <w:pPr>
        <w:ind w:left="1440" w:hanging="1440"/>
      </w:pPr>
      <w:rPr>
        <w:rFonts w:ascii="Arial" w:cs="Arial" w:eastAsia="Arial" w:hAnsi="Arial"/>
        <w:i w:val="0"/>
        <w:sz w:val="28"/>
        <w:szCs w:val="28"/>
        <w:vertAlign w:val="baseline"/>
      </w:rPr>
    </w:lvl>
    <w:lvl w:ilvl="6">
      <w:start w:val="1"/>
      <w:numFmt w:val="decimal"/>
      <w:lvlText w:val="%1.%2.%3.%4.%5.%6.%7"/>
      <w:lvlJc w:val="left"/>
      <w:pPr>
        <w:ind w:left="1800" w:hanging="1800"/>
      </w:pPr>
      <w:rPr>
        <w:rFonts w:ascii="Arial" w:cs="Arial" w:eastAsia="Arial" w:hAnsi="Arial"/>
        <w:i w:val="0"/>
        <w:sz w:val="28"/>
        <w:szCs w:val="28"/>
        <w:vertAlign w:val="baseline"/>
      </w:rPr>
    </w:lvl>
    <w:lvl w:ilvl="7">
      <w:start w:val="1"/>
      <w:numFmt w:val="decimal"/>
      <w:lvlText w:val="%1.%2.%3.%4.%5.%6.%7.%8"/>
      <w:lvlJc w:val="left"/>
      <w:pPr>
        <w:ind w:left="2160" w:hanging="2160"/>
      </w:pPr>
      <w:rPr>
        <w:rFonts w:ascii="Arial" w:cs="Arial" w:eastAsia="Arial" w:hAnsi="Arial"/>
        <w:i w:val="0"/>
        <w:sz w:val="28"/>
        <w:szCs w:val="28"/>
        <w:vertAlign w:val="baseline"/>
      </w:rPr>
    </w:lvl>
    <w:lvl w:ilvl="8">
      <w:start w:val="1"/>
      <w:numFmt w:val="decimal"/>
      <w:lvlText w:val="%1.%2.%3.%4.%5.%6.%7.%8.%9"/>
      <w:lvlJc w:val="left"/>
      <w:pPr>
        <w:ind w:left="2160" w:hanging="2160"/>
      </w:pPr>
      <w:rPr>
        <w:rFonts w:ascii="Arial" w:cs="Arial" w:eastAsia="Arial" w:hAnsi="Arial"/>
        <w:i w:val="0"/>
        <w:sz w:val="28"/>
        <w:szCs w:val="28"/>
        <w:vertAlign w:val="baseline"/>
      </w:rPr>
    </w:lvl>
  </w:abstractNum>
  <w:abstractNum w:abstractNumId="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PL"/>
      </w:rPr>
    </w:rPrDefault>
    <w:pPrDefault>
      <w:pPr>
        <w:widowControl w:val="0"/>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widowControl w:val="0"/>
      <w:spacing w:line="1" w:lineRule="atLeast"/>
      <w:ind w:left="-1" w:leftChars="-1" w:hanging="1" w:hangingChars="1"/>
      <w:textDirection w:val="btLr"/>
      <w:textAlignment w:val="baseline"/>
      <w:outlineLvl w:val="0"/>
    </w:pPr>
    <w:rPr>
      <w:kern w:val="1"/>
      <w:position w:val="-1"/>
      <w:lang w:eastAsia="ar-SA"/>
    </w:rPr>
  </w:style>
  <w:style w:type="paragraph" w:styleId="Nagwek1">
    <w:name w:val="heading 1"/>
    <w:basedOn w:val="Heading"/>
    <w:next w:val="Textbody"/>
    <w:uiPriority w:val="9"/>
    <w:qFormat w:val="1"/>
    <w:rPr>
      <w:b w:val="1"/>
      <w:bCs w:val="1"/>
    </w:rPr>
  </w:style>
  <w:style w:type="paragraph" w:styleId="Nagwek2">
    <w:name w:val="heading 2"/>
    <w:basedOn w:val="Heading"/>
    <w:next w:val="Textbody"/>
    <w:uiPriority w:val="9"/>
    <w:semiHidden w:val="1"/>
    <w:unhideWhenUsed w:val="1"/>
    <w:qFormat w:val="1"/>
    <w:pPr>
      <w:outlineLvl w:val="1"/>
    </w:pPr>
    <w:rPr>
      <w:b w:val="1"/>
      <w:bCs w:val="1"/>
      <w:i w:val="1"/>
      <w:iCs w:val="1"/>
    </w:rPr>
  </w:style>
  <w:style w:type="paragraph" w:styleId="Nagwek3">
    <w:name w:val="heading 3"/>
    <w:basedOn w:val="Heading"/>
    <w:next w:val="Textbody"/>
    <w:uiPriority w:val="9"/>
    <w:semiHidden w:val="1"/>
    <w:unhideWhenUsed w:val="1"/>
    <w:qFormat w:val="1"/>
    <w:pPr>
      <w:outlineLvl w:val="2"/>
    </w:pPr>
    <w:rPr>
      <w:b w:val="1"/>
      <w:bCs w:val="1"/>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character" w:styleId="WW8Num1z0" w:customStyle="1">
    <w:name w:val="WW8Num1z0"/>
    <w:rPr>
      <w:rFonts w:ascii="Arial" w:cs="Arial" w:hAnsi="Arial"/>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Arial" w:hAnsi="Tahoma"/>
      <w:color w:val="000000"/>
      <w:spacing w:val="-7"/>
      <w:w w:val="100"/>
      <w:position w:val="-1"/>
      <w:sz w:val="22"/>
      <w:szCs w:val="22"/>
      <w:effect w:val="none"/>
      <w:vertAlign w:val="baseline"/>
      <w:cs w:val="0"/>
      <w:em w:val="none"/>
    </w:rPr>
  </w:style>
  <w:style w:type="character" w:styleId="WW8Num2z1" w:customStyle="1">
    <w:name w:val="WW8Num2z1"/>
    <w:rPr>
      <w:w w:val="100"/>
      <w:position w:val="-1"/>
      <w:effect w:val="none"/>
      <w:vertAlign w:val="baseline"/>
      <w:cs w:val="0"/>
      <w:em w:val="none"/>
    </w:rPr>
  </w:style>
  <w:style w:type="character" w:styleId="WW8Num2z2" w:customStyle="1">
    <w:name w:val="WW8Num2z2"/>
    <w:rPr>
      <w:w w:val="100"/>
      <w:position w:val="-1"/>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Arial" w:cs="Arial" w:hAnsi="Arial"/>
      <w:w w:val="100"/>
      <w:position w:val="-1"/>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Arial" w:cs="Arial" w:hAnsi="Arial"/>
      <w:w w:val="100"/>
      <w:position w:val="-1"/>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Arial" w:cs="Arial" w:hAnsi="Arial"/>
      <w:w w:val="100"/>
      <w:position w:val="-1"/>
      <w:effect w:val="none"/>
      <w:vertAlign w:val="baseline"/>
      <w:cs w:val="0"/>
      <w:em w:val="none"/>
    </w:rPr>
  </w:style>
  <w:style w:type="character" w:styleId="WW8Num5z1" w:customStyle="1">
    <w:name w:val="WW8Num5z1"/>
    <w:rPr>
      <w:w w:val="100"/>
      <w:position w:val="-1"/>
      <w:effect w:val="none"/>
      <w:vertAlign w:val="baseline"/>
      <w:cs w:val="0"/>
      <w:em w:val="none"/>
    </w:rPr>
  </w:style>
  <w:style w:type="character" w:styleId="WW8Num5z2" w:customStyle="1">
    <w:name w:val="WW8Num5z2"/>
    <w:rPr>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Arial" w:cs="Arial" w:hAnsi="Arial"/>
      <w:w w:val="100"/>
      <w:position w:val="-1"/>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rFonts w:ascii="Arial" w:cs="Arial" w:hAnsi="Arial"/>
      <w:color w:val="000000"/>
      <w:spacing w:val="-2"/>
      <w:w w:val="100"/>
      <w:position w:val="-1"/>
      <w:sz w:val="22"/>
      <w:szCs w:val="22"/>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Arial" w:cs="Arial" w:hAnsi="Arial"/>
      <w:color w:val="000000"/>
      <w:spacing w:val="-2"/>
      <w:w w:val="100"/>
      <w:position w:val="-1"/>
      <w:sz w:val="22"/>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Arial" w:cs="Arial" w:hAnsi="Arial"/>
      <w:w w:val="100"/>
      <w:position w:val="-1"/>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Arial" w:cs="Arial" w:hAnsi="Arial"/>
      <w:w w:val="100"/>
      <w:position w:val="-1"/>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rFonts w:ascii="Arial" w:cs="Arial" w:hAnsi="Arial"/>
      <w:color w:val="000000"/>
      <w:spacing w:val="-2"/>
      <w:w w:val="100"/>
      <w:position w:val="-1"/>
      <w:sz w:val="22"/>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color w:val="000000"/>
      <w:spacing w:val="1"/>
      <w:w w:val="100"/>
      <w:position w:val="-1"/>
      <w:sz w:val="22"/>
      <w:szCs w:val="22"/>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0" w:customStyle="1">
    <w:name w:val="WW8Num13z0"/>
    <w:rPr>
      <w:color w:val="000000"/>
      <w:spacing w:val="-7"/>
      <w:w w:val="100"/>
      <w:position w:val="-1"/>
      <w:sz w:val="22"/>
      <w:szCs w:val="22"/>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Absatz-Standardschriftart" w:customStyle="1">
    <w:name w:val="Absatz-Standardschriftart"/>
    <w:rPr>
      <w:w w:val="100"/>
      <w:position w:val="-1"/>
      <w:effect w:val="none"/>
      <w:vertAlign w:val="baseline"/>
      <w:cs w:val="0"/>
      <w:em w:val="none"/>
    </w:rPr>
  </w:style>
  <w:style w:type="character" w:styleId="WW-Absatz-Standardschriftart" w:customStyle="1">
    <w:name w:val="WW-Absatz-Standardschriftart"/>
    <w:rPr>
      <w:w w:val="100"/>
      <w:position w:val="-1"/>
      <w:effect w:val="none"/>
      <w:vertAlign w:val="baseline"/>
      <w:cs w:val="0"/>
      <w:em w:val="none"/>
    </w:rPr>
  </w:style>
  <w:style w:type="character" w:styleId="WW-Absatz-Standardschriftart1" w:customStyle="1">
    <w:name w:val="WW-Absatz-Standardschriftart1"/>
    <w:rPr>
      <w:w w:val="100"/>
      <w:position w:val="-1"/>
      <w:effect w:val="none"/>
      <w:vertAlign w:val="baseline"/>
      <w:cs w:val="0"/>
      <w:em w:val="none"/>
    </w:rPr>
  </w:style>
  <w:style w:type="character" w:styleId="WW-Absatz-Standardschriftart11" w:customStyle="1">
    <w:name w:val="WW-Absatz-Standardschriftart11"/>
    <w:rPr>
      <w:w w:val="100"/>
      <w:position w:val="-1"/>
      <w:effect w:val="none"/>
      <w:vertAlign w:val="baseline"/>
      <w:cs w:val="0"/>
      <w:em w:val="none"/>
    </w:rPr>
  </w:style>
  <w:style w:type="character" w:styleId="WW-Absatz-Standardschriftart111" w:customStyle="1">
    <w:name w:val="WW-Absatz-Standardschriftart111"/>
    <w:rPr>
      <w:w w:val="100"/>
      <w:position w:val="-1"/>
      <w:effect w:val="none"/>
      <w:vertAlign w:val="baseline"/>
      <w:cs w:val="0"/>
      <w:em w:val="none"/>
    </w:rPr>
  </w:style>
  <w:style w:type="character" w:styleId="WW-Absatz-Standardschriftart1111" w:customStyle="1">
    <w:name w:val="WW-Absatz-Standardschriftart1111"/>
    <w:rPr>
      <w:w w:val="100"/>
      <w:position w:val="-1"/>
      <w:effect w:val="none"/>
      <w:vertAlign w:val="baseline"/>
      <w:cs w:val="0"/>
      <w:em w:val="none"/>
    </w:rPr>
  </w:style>
  <w:style w:type="character" w:styleId="WW-Absatz-Standardschriftart11111" w:customStyle="1">
    <w:name w:val="WW-Absatz-Standardschriftart11111"/>
    <w:rPr>
      <w:w w:val="100"/>
      <w:position w:val="-1"/>
      <w:effect w:val="none"/>
      <w:vertAlign w:val="baseline"/>
      <w:cs w:val="0"/>
      <w:em w:val="none"/>
    </w:rPr>
  </w:style>
  <w:style w:type="character" w:styleId="WW-Absatz-Standardschriftart111111" w:customStyle="1">
    <w:name w:val="WW-Absatz-Standardschriftart111111"/>
    <w:rPr>
      <w:w w:val="100"/>
      <w:position w:val="-1"/>
      <w:effect w:val="none"/>
      <w:vertAlign w:val="baseline"/>
      <w:cs w:val="0"/>
      <w:em w:val="none"/>
    </w:rPr>
  </w:style>
  <w:style w:type="character" w:styleId="WW-Absatz-Standardschriftart1111111" w:customStyle="1">
    <w:name w:val="WW-Absatz-Standardschriftart1111111"/>
    <w:rPr>
      <w:w w:val="100"/>
      <w:position w:val="-1"/>
      <w:effect w:val="none"/>
      <w:vertAlign w:val="baseline"/>
      <w:cs w:val="0"/>
      <w:em w:val="none"/>
    </w:rPr>
  </w:style>
  <w:style w:type="character" w:styleId="WW-Absatz-Standardschriftart11111111" w:customStyle="1">
    <w:name w:val="WW-Absatz-Standardschriftart11111111"/>
    <w:rPr>
      <w:w w:val="100"/>
      <w:position w:val="-1"/>
      <w:effect w:val="none"/>
      <w:vertAlign w:val="baseline"/>
      <w:cs w:val="0"/>
      <w:em w:val="none"/>
    </w:rPr>
  </w:style>
  <w:style w:type="character" w:styleId="WW-Absatz-Standardschriftart111111111" w:customStyle="1">
    <w:name w:val="WW-Absatz-Standardschriftart111111111"/>
    <w:rPr>
      <w:w w:val="100"/>
      <w:position w:val="-1"/>
      <w:effect w:val="none"/>
      <w:vertAlign w:val="baseline"/>
      <w:cs w:val="0"/>
      <w:em w:val="none"/>
    </w:rPr>
  </w:style>
  <w:style w:type="character" w:styleId="WW-Absatz-Standardschriftart1111111111" w:customStyle="1">
    <w:name w:val="WW-Absatz-Standardschriftart1111111111"/>
    <w:rPr>
      <w:w w:val="100"/>
      <w:position w:val="-1"/>
      <w:effect w:val="none"/>
      <w:vertAlign w:val="baseline"/>
      <w:cs w:val="0"/>
      <w:em w:val="none"/>
    </w:rPr>
  </w:style>
  <w:style w:type="character" w:styleId="WW-Absatz-Standardschriftart11111111111" w:customStyle="1">
    <w:name w:val="WW-Absatz-Standardschriftart11111111111"/>
    <w:rPr>
      <w:w w:val="100"/>
      <w:position w:val="-1"/>
      <w:effect w:val="none"/>
      <w:vertAlign w:val="baseline"/>
      <w:cs w:val="0"/>
      <w:em w:val="none"/>
    </w:rPr>
  </w:style>
  <w:style w:type="character" w:styleId="WW-Absatz-Standardschriftart111111111111" w:customStyle="1">
    <w:name w:val="WW-Absatz-Standardschriftart111111111111"/>
    <w:rPr>
      <w:w w:val="100"/>
      <w:position w:val="-1"/>
      <w:effect w:val="none"/>
      <w:vertAlign w:val="baseline"/>
      <w:cs w:val="0"/>
      <w:em w:val="none"/>
    </w:rPr>
  </w:style>
  <w:style w:type="character" w:styleId="WW-Absatz-Standardschriftart1111111111111" w:customStyle="1">
    <w:name w:val="WW-Absatz-Standardschriftart1111111111111"/>
    <w:rPr>
      <w:w w:val="100"/>
      <w:position w:val="-1"/>
      <w:effect w:val="none"/>
      <w:vertAlign w:val="baseline"/>
      <w:cs w:val="0"/>
      <w:em w:val="none"/>
    </w:rPr>
  </w:style>
  <w:style w:type="character" w:styleId="WW-Absatz-Standardschriftart11111111111111" w:customStyle="1">
    <w:name w:val="WW-Absatz-Standardschriftart11111111111111"/>
    <w:rPr>
      <w:w w:val="100"/>
      <w:position w:val="-1"/>
      <w:effect w:val="none"/>
      <w:vertAlign w:val="baseline"/>
      <w:cs w:val="0"/>
      <w:em w:val="none"/>
    </w:rPr>
  </w:style>
  <w:style w:type="character" w:styleId="WW8NumSt8z0" w:customStyle="1">
    <w:name w:val="WW8NumSt8z0"/>
    <w:rPr>
      <w:rFonts w:ascii="Arial" w:cs="Arial" w:hAnsi="Arial"/>
      <w:w w:val="100"/>
      <w:position w:val="-1"/>
      <w:effect w:val="none"/>
      <w:vertAlign w:val="baseline"/>
      <w:cs w:val="0"/>
      <w:em w:val="none"/>
    </w:rPr>
  </w:style>
  <w:style w:type="character" w:styleId="WW8NumSt10z0" w:customStyle="1">
    <w:name w:val="WW8NumSt10z0"/>
    <w:rPr>
      <w:rFonts w:ascii="Arial" w:cs="Arial" w:hAnsi="Arial"/>
      <w:w w:val="100"/>
      <w:position w:val="-1"/>
      <w:effect w:val="none"/>
      <w:vertAlign w:val="baseline"/>
      <w:cs w:val="0"/>
      <w:em w:val="none"/>
    </w:rPr>
  </w:style>
  <w:style w:type="character" w:styleId="WW8NumSt11z0" w:customStyle="1">
    <w:name w:val="WW8NumSt11z0"/>
    <w:rPr>
      <w:rFonts w:ascii="Arial" w:cs="Arial" w:hAnsi="Arial"/>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Nagwek1Znak" w:customStyle="1">
    <w:name w:val="Nagłówek 1 Znak"/>
    <w:rPr>
      <w:rFonts w:ascii="Cambria" w:cs="Times New Roman" w:eastAsia="Times New Roman" w:hAnsi="Cambria"/>
      <w:b w:val="1"/>
      <w:bCs w:val="1"/>
      <w:color w:val="365f91"/>
      <w:w w:val="100"/>
      <w:position w:val="-1"/>
      <w:sz w:val="28"/>
      <w:szCs w:val="28"/>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character" w:styleId="Nagwek2Znak" w:customStyle="1">
    <w:name w:val="Nagłówek 2 Znak"/>
    <w:rPr>
      <w:rFonts w:ascii="Cambria" w:cs="Times New Roman" w:eastAsia="Times New Roman" w:hAnsi="Cambria"/>
      <w:b w:val="1"/>
      <w:bCs w:val="1"/>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Internetlink" w:customStyle="1">
    <w:name w:val="Internet link"/>
    <w:rPr>
      <w:color w:val="000080"/>
      <w:w w:val="100"/>
      <w:position w:val="-1"/>
      <w:u w:val="single"/>
      <w:effect w:val="none"/>
      <w:vertAlign w:val="baseline"/>
      <w:cs w:val="0"/>
      <w:em w:val="none"/>
    </w:rPr>
  </w:style>
  <w:style w:type="character" w:styleId="WW8Num27z0" w:customStyle="1">
    <w:name w:val="WW8Num27z0"/>
    <w:rPr>
      <w:rFonts w:ascii="Arial" w:cs="Arial" w:hAnsi="Arial"/>
      <w:bCs w:val="1"/>
      <w:w w:val="100"/>
      <w:position w:val="-1"/>
      <w:sz w:val="22"/>
      <w:szCs w:val="22"/>
      <w:effect w:val="none"/>
      <w:vertAlign w:val="baseline"/>
      <w:cs w:val="0"/>
      <w:em w:val="none"/>
      <w:lang w:val="pl-PL"/>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NumberingSymbols" w:customStyle="1">
    <w:name w:val="Numbering Symbols"/>
    <w:rPr>
      <w:w w:val="100"/>
      <w:position w:val="-1"/>
      <w:effect w:val="none"/>
      <w:vertAlign w:val="baseline"/>
      <w:cs w:val="0"/>
      <w:em w:val="none"/>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styleId="Podpis2" w:customStyle="1">
    <w:name w:val="Podpis2"/>
    <w:basedOn w:val="Normalny"/>
    <w:pPr>
      <w:suppressLineNumbers w:val="1"/>
      <w:spacing w:after="120" w:before="120"/>
    </w:pPr>
    <w:rPr>
      <w:i w:val="1"/>
      <w:iCs w:val="1"/>
      <w:sz w:val="24"/>
      <w:szCs w:val="24"/>
    </w:rPr>
  </w:style>
  <w:style w:type="paragraph" w:styleId="Indeks" w:customStyle="1">
    <w:name w:val="Indeks"/>
    <w:basedOn w:val="Normalny"/>
    <w:pPr>
      <w:suppressLineNumbers w:val="1"/>
    </w:pPr>
  </w:style>
  <w:style w:type="paragraph" w:styleId="Standard" w:customStyle="1">
    <w:name w:val="Standard"/>
    <w:pPr>
      <w:widowControl w:val="0"/>
      <w:spacing w:line="1" w:lineRule="atLeast"/>
      <w:ind w:left="-1" w:leftChars="-1" w:hanging="1" w:hangingChars="1"/>
      <w:textDirection w:val="btLr"/>
      <w:textAlignment w:val="baseline"/>
      <w:outlineLvl w:val="0"/>
    </w:pPr>
    <w:rPr>
      <w:rFonts w:ascii="Arial" w:cs="Arial" w:hAnsi="Arial"/>
      <w:kern w:val="1"/>
      <w:position w:val="-1"/>
      <w:lang w:eastAsia="ar-SA"/>
    </w:rPr>
  </w:style>
  <w:style w:type="paragraph" w:styleId="Heading" w:customStyle="1">
    <w:name w:val="Heading"/>
    <w:basedOn w:val="Standard"/>
    <w:next w:val="Textbody"/>
    <w:pPr>
      <w:keepNext w:val="1"/>
      <w:spacing w:after="120" w:before="240"/>
    </w:pPr>
    <w:rPr>
      <w:rFonts w:cs="Mangal" w:eastAsia="Microsoft YaHei"/>
      <w:sz w:val="28"/>
      <w:szCs w:val="28"/>
    </w:rPr>
  </w:style>
  <w:style w:type="paragraph" w:styleId="Textbody" w:customStyle="1">
    <w:name w:val="Text body"/>
    <w:basedOn w:val="Standard"/>
    <w:pPr>
      <w:spacing w:after="120"/>
    </w:pPr>
  </w:style>
  <w:style w:type="paragraph" w:styleId="Legenda">
    <w:name w:val="caption"/>
    <w:basedOn w:val="Standard"/>
    <w:pPr>
      <w:suppressLineNumbers w:val="1"/>
      <w:spacing w:after="120" w:before="120"/>
    </w:pPr>
    <w:rPr>
      <w:rFonts w:cs="Mangal"/>
      <w:i w:val="1"/>
      <w:iCs w:val="1"/>
      <w:sz w:val="24"/>
      <w:szCs w:val="24"/>
    </w:rPr>
  </w:style>
  <w:style w:type="paragraph" w:styleId="Index" w:customStyle="1">
    <w:name w:val="Index"/>
    <w:basedOn w:val="Standard"/>
    <w:pPr>
      <w:suppressLineNumbers w:val="1"/>
    </w:pPr>
    <w:rPr>
      <w:rFonts w:cs="Tahoma"/>
    </w:rPr>
  </w:style>
  <w:style w:type="paragraph" w:styleId="Nagwek10" w:customStyle="1">
    <w:name w:val="Nagłówek1"/>
    <w:basedOn w:val="Standard"/>
    <w:pPr>
      <w:keepNext w:val="1"/>
      <w:spacing w:after="120" w:before="240"/>
    </w:pPr>
    <w:rPr>
      <w:rFonts w:cs="Tahoma" w:eastAsia="Lucida Sans Unicode"/>
      <w:sz w:val="28"/>
      <w:szCs w:val="28"/>
    </w:rPr>
  </w:style>
  <w:style w:type="paragraph" w:styleId="Podpis1" w:customStyle="1">
    <w:name w:val="Podpis1"/>
    <w:basedOn w:val="Standard"/>
    <w:pPr>
      <w:suppressLineNumbers w:val="1"/>
      <w:spacing w:after="120" w:before="120"/>
    </w:pPr>
    <w:rPr>
      <w:rFonts w:cs="Tahoma"/>
      <w:i w:val="1"/>
      <w:iCs w:val="1"/>
      <w:sz w:val="24"/>
      <w:szCs w:val="24"/>
    </w:rPr>
  </w:style>
  <w:style w:type="paragraph" w:styleId="ContentsHeading" w:customStyle="1">
    <w:name w:val="Contents Heading"/>
    <w:basedOn w:val="Nagwek1"/>
    <w:next w:val="Normalny"/>
    <w:pPr>
      <w:widowControl w:val="1"/>
      <w:suppressAutoHyphens w:val="1"/>
      <w:spacing w:line="276" w:lineRule="auto"/>
      <w:textAlignment w:val="auto"/>
    </w:pPr>
  </w:style>
  <w:style w:type="paragraph" w:styleId="Contents1" w:customStyle="1">
    <w:name w:val="Contents 1"/>
    <w:basedOn w:val="Normalny"/>
    <w:next w:val="Normalny"/>
    <w:pPr>
      <w:spacing w:after="100"/>
    </w:pPr>
  </w:style>
  <w:style w:type="paragraph" w:styleId="Contents2" w:customStyle="1">
    <w:name w:val="Contents 2"/>
    <w:basedOn w:val="Normalny"/>
    <w:next w:val="Normalny"/>
    <w:pPr>
      <w:spacing w:after="100"/>
      <w:ind w:left="200" w:firstLine="0"/>
    </w:pPr>
  </w:style>
  <w:style w:type="paragraph" w:styleId="Contents3" w:customStyle="1">
    <w:name w:val="Contents 3"/>
    <w:basedOn w:val="Index"/>
    <w:pPr>
      <w:ind w:left="566" w:firstLine="0"/>
    </w:pPr>
  </w:style>
  <w:style w:type="paragraph" w:styleId="Tekstdymka">
    <w:name w:val="Balloon Text"/>
    <w:basedOn w:val="Normalny"/>
    <w:rPr>
      <w:rFonts w:ascii="Tahoma" w:cs="Tahoma" w:hAnsi="Tahoma"/>
      <w:sz w:val="16"/>
      <w:szCs w:val="16"/>
    </w:rPr>
  </w:style>
  <w:style w:type="paragraph" w:styleId="AkapitzlistNormalAkapitzlist31TytuyAkapitzlist3" w:customStyle="1">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character" w:styleId="WW8Num29z3" w:customStyle="1">
    <w:name w:val="WW8Num29z3"/>
    <w:rPr>
      <w:w w:val="100"/>
      <w:position w:val="-1"/>
      <w:effect w:val="none"/>
      <w:vertAlign w:val="baseline"/>
      <w:cs w:val="0"/>
      <w:em w:val="none"/>
    </w:rPr>
  </w:style>
  <w:style w:type="character" w:styleId="Nagwek1Znak1" w:customStyle="1">
    <w:name w:val="Nagłówek 1 Znak1"/>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5yHUfb9klJNtAvugYA8DeyglzQ==">CgMxLjAyDmguOXk5Z2xsMXRzZjlwMghoLmdqZGd4czIJaC4zMGowemxsMgloLjFmb2I5dGUyDmgubmw0cG5zcnJzc2pl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ThDZHNKdDg2c3VVRm1wWEwwMkhDeXVZQ1JrbHMxXz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